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Times New Roman" w:hAnsi="Times New Roman" w:eastAsia="仿宋_GB2312" w:cs="Times New Roman"/>
          <w:b w:val="0"/>
          <w:bCs w:val="0"/>
          <w:snapToGrid w:val="0"/>
          <w:color w:val="auto"/>
          <w:sz w:val="32"/>
          <w:szCs w:val="32"/>
          <w:lang w:val="en-US" w:eastAsia="zh-CN" w:bidi="ar-SA"/>
        </w:rPr>
      </w:pPr>
      <w:bookmarkStart w:id="1" w:name="_GoBack"/>
      <w:bookmarkEnd w:id="1"/>
      <w:r>
        <w:rPr>
          <w:rFonts w:hint="eastAsia" w:ascii="Times New Roman" w:hAnsi="Times New Roman" w:eastAsia="仿宋_GB2312" w:cs="Times New Roman"/>
          <w:b w:val="0"/>
          <w:bCs w:val="0"/>
          <w:snapToGrid w:val="0"/>
          <w:color w:val="auto"/>
          <w:sz w:val="32"/>
          <w:szCs w:val="32"/>
          <w:lang w:val="en" w:eastAsia="zh-CN" w:bidi="ar-SA"/>
        </w:rPr>
        <w:t>附件</w:t>
      </w:r>
      <w:r>
        <w:rPr>
          <w:rFonts w:hint="eastAsia" w:ascii="Times New Roman" w:hAnsi="Times New Roman" w:eastAsia="仿宋_GB2312" w:cs="Times New Roman"/>
          <w:b w:val="0"/>
          <w:bCs w:val="0"/>
          <w:snapToGrid w:val="0"/>
          <w:color w:val="auto"/>
          <w:sz w:val="32"/>
          <w:szCs w:val="32"/>
          <w:lang w:val="en-US" w:eastAsia="zh-CN" w:bidi="ar-SA"/>
        </w:rPr>
        <w:t>1</w:t>
      </w:r>
    </w:p>
    <w:p>
      <w:pPr>
        <w:rPr>
          <w:rFonts w:hint="default" w:ascii="Times New Roman" w:hAnsi="Times New Roman" w:cs="Times New Roman"/>
        </w:rPr>
      </w:pPr>
    </w:p>
    <w:p>
      <w:pPr>
        <w:jc w:val="center"/>
        <w:rPr>
          <w:rFonts w:hint="eastAsia" w:ascii="方正小标宋简体" w:hAnsi="方正小标宋简体" w:eastAsia="方正小标宋简体" w:cs="方正小标宋简体"/>
          <w:b w:val="0"/>
          <w:bCs w:val="0"/>
          <w:color w:val="auto"/>
          <w:spacing w:val="-5"/>
          <w:sz w:val="40"/>
          <w:szCs w:val="40"/>
        </w:rPr>
      </w:pPr>
      <w:r>
        <w:rPr>
          <w:rFonts w:hint="eastAsia" w:ascii="方正小标宋简体" w:hAnsi="方正小标宋简体" w:eastAsia="方正小标宋简体" w:cs="方正小标宋简体"/>
          <w:b w:val="0"/>
          <w:bCs w:val="0"/>
          <w:color w:val="auto"/>
          <w:spacing w:val="-5"/>
          <w:sz w:val="40"/>
          <w:szCs w:val="40"/>
        </w:rPr>
        <w:t>新疆农业</w:t>
      </w:r>
      <w:r>
        <w:rPr>
          <w:rFonts w:hint="eastAsia" w:ascii="方正小标宋简体" w:hAnsi="方正小标宋简体" w:eastAsia="方正小标宋简体" w:cs="方正小标宋简体"/>
          <w:b w:val="0"/>
          <w:bCs w:val="0"/>
          <w:color w:val="auto"/>
          <w:spacing w:val="-5"/>
          <w:sz w:val="40"/>
          <w:szCs w:val="40"/>
          <w:lang w:val="en-US" w:eastAsia="zh-CN"/>
        </w:rPr>
        <w:t>生产发展资金</w:t>
      </w:r>
      <w:r>
        <w:rPr>
          <w:rFonts w:hint="eastAsia" w:ascii="方正小标宋简体" w:hAnsi="方正小标宋简体" w:eastAsia="方正小标宋简体" w:cs="方正小标宋简体"/>
          <w:b w:val="0"/>
          <w:bCs w:val="0"/>
          <w:color w:val="auto"/>
          <w:spacing w:val="-5"/>
          <w:sz w:val="40"/>
          <w:szCs w:val="40"/>
        </w:rPr>
        <w:t>中央专项转移支付绩效</w:t>
      </w:r>
    </w:p>
    <w:p>
      <w:pPr>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pacing w:val="-5"/>
          <w:sz w:val="40"/>
          <w:szCs w:val="40"/>
        </w:rPr>
        <w:t>自评报告</w:t>
      </w:r>
    </w:p>
    <w:p>
      <w:pPr>
        <w:spacing w:line="540" w:lineRule="exact"/>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（202</w:t>
      </w:r>
      <w:r>
        <w:rPr>
          <w:rFonts w:hint="eastAsia" w:ascii="方正小标宋简体" w:hAnsi="方正小标宋简体" w:eastAsia="方正小标宋简体" w:cs="方正小标宋简体"/>
          <w:b w:val="0"/>
          <w:bCs w:val="0"/>
          <w:color w:val="auto"/>
          <w:sz w:val="40"/>
          <w:szCs w:val="40"/>
          <w:lang w:val="en-US" w:eastAsia="zh-CN"/>
        </w:rPr>
        <w:t>2</w:t>
      </w:r>
      <w:r>
        <w:rPr>
          <w:rFonts w:hint="eastAsia" w:ascii="方正小标宋简体" w:hAnsi="方正小标宋简体" w:eastAsia="方正小标宋简体" w:cs="方正小标宋简体"/>
          <w:b w:val="0"/>
          <w:bCs w:val="0"/>
          <w:color w:val="auto"/>
          <w:sz w:val="40"/>
          <w:szCs w:val="40"/>
        </w:rPr>
        <w:t>年度）</w:t>
      </w:r>
    </w:p>
    <w:p>
      <w:pPr>
        <w:spacing w:line="540" w:lineRule="exact"/>
        <w:jc w:val="center"/>
        <w:rPr>
          <w:rFonts w:hint="default" w:ascii="Times New Roman" w:hAnsi="Times New Roman" w:cs="Times New Roman"/>
          <w:color w:val="auto"/>
          <w:szCs w:val="30"/>
        </w:rPr>
      </w:pPr>
    </w:p>
    <w:p>
      <w:pPr>
        <w:spacing w:line="540" w:lineRule="exact"/>
        <w:jc w:val="center"/>
        <w:rPr>
          <w:rFonts w:hint="default" w:ascii="Times New Roman" w:hAnsi="Times New Roman" w:cs="Times New Roman"/>
          <w:color w:val="auto"/>
          <w:szCs w:val="30"/>
        </w:rPr>
      </w:pPr>
    </w:p>
    <w:p>
      <w:pPr>
        <w:spacing w:line="540" w:lineRule="exact"/>
        <w:jc w:val="center"/>
        <w:rPr>
          <w:rFonts w:hint="default" w:ascii="Times New Roman" w:hAnsi="Times New Roman" w:cs="Times New Roman"/>
          <w:color w:val="auto"/>
          <w:szCs w:val="30"/>
        </w:rPr>
      </w:pPr>
    </w:p>
    <w:p>
      <w:pPr>
        <w:pStyle w:val="2"/>
        <w:rPr>
          <w:rFonts w:hint="default" w:ascii="Times New Roman" w:hAnsi="Times New Roman" w:cs="Times New Roman"/>
          <w:color w:val="auto"/>
          <w:szCs w:val="30"/>
        </w:rPr>
      </w:pPr>
    </w:p>
    <w:p>
      <w:pPr>
        <w:pStyle w:val="2"/>
        <w:rPr>
          <w:rFonts w:hint="default" w:ascii="Times New Roman" w:hAnsi="Times New Roman" w:cs="Times New Roman"/>
          <w:color w:val="auto"/>
          <w:szCs w:val="30"/>
        </w:rPr>
      </w:pPr>
    </w:p>
    <w:p>
      <w:pPr>
        <w:pStyle w:val="2"/>
        <w:rPr>
          <w:rFonts w:hint="default" w:ascii="Times New Roman" w:hAnsi="Times New Roman" w:eastAsia="仿宋_GB2312" w:cs="Times New Roman"/>
          <w:color w:val="auto"/>
          <w:szCs w:val="30"/>
        </w:rPr>
      </w:pPr>
    </w:p>
    <w:p>
      <w:pPr>
        <w:pStyle w:val="2"/>
        <w:rPr>
          <w:rFonts w:hint="default" w:ascii="Times New Roman" w:hAnsi="Times New Roman" w:eastAsia="仿宋_GB2312" w:cs="Times New Roman"/>
          <w:color w:val="auto"/>
          <w:szCs w:val="30"/>
        </w:rPr>
      </w:pPr>
    </w:p>
    <w:p>
      <w:pPr>
        <w:pStyle w:val="2"/>
        <w:ind w:left="0" w:leftChars="0" w:firstLine="0" w:firstLineChars="0"/>
        <w:rPr>
          <w:rFonts w:hint="default" w:ascii="Times New Roman" w:hAnsi="Times New Roman" w:eastAsia="仿宋_GB2312" w:cs="Times New Roman"/>
          <w:color w:val="auto"/>
          <w:szCs w:val="30"/>
        </w:rPr>
      </w:pPr>
    </w:p>
    <w:p>
      <w:pPr>
        <w:spacing w:line="540" w:lineRule="exact"/>
        <w:jc w:val="center"/>
        <w:rPr>
          <w:rFonts w:hint="default" w:ascii="Times New Roman" w:hAnsi="Times New Roman" w:cs="Times New Roman"/>
          <w:color w:val="auto"/>
          <w:szCs w:val="30"/>
        </w:rPr>
      </w:pPr>
    </w:p>
    <w:p>
      <w:pPr>
        <w:spacing w:line="540" w:lineRule="exact"/>
        <w:jc w:val="center"/>
        <w:rPr>
          <w:rFonts w:hint="default" w:ascii="Times New Roman" w:hAnsi="Times New Roman" w:cs="Times New Roman"/>
          <w:color w:val="auto"/>
          <w:szCs w:val="30"/>
        </w:rPr>
      </w:pPr>
    </w:p>
    <w:p>
      <w:pPr>
        <w:spacing w:line="540" w:lineRule="exact"/>
        <w:jc w:val="center"/>
        <w:rPr>
          <w:rFonts w:hint="default" w:ascii="Times New Roman" w:hAnsi="Times New Roman" w:cs="Times New Roman"/>
          <w:color w:val="auto"/>
          <w:szCs w:val="30"/>
        </w:rPr>
      </w:pPr>
    </w:p>
    <w:p>
      <w:pPr>
        <w:pStyle w:val="15"/>
        <w:rPr>
          <w:rFonts w:hint="default" w:ascii="Times New Roman" w:hAnsi="Times New Roman" w:cs="Times New Roman"/>
          <w:color w:val="auto"/>
          <w:szCs w:val="30"/>
        </w:rPr>
      </w:pPr>
    </w:p>
    <w:p>
      <w:pPr>
        <w:spacing w:line="540" w:lineRule="exact"/>
        <w:rPr>
          <w:rFonts w:hint="default" w:ascii="Times New Roman" w:hAnsi="Times New Roman" w:cs="Times New Roman"/>
          <w:color w:val="auto"/>
          <w:szCs w:val="30"/>
        </w:rPr>
      </w:pPr>
    </w:p>
    <w:p>
      <w:pPr>
        <w:spacing w:line="700" w:lineRule="exac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b/>
          <w:bCs/>
          <w:snapToGrid/>
          <w:color w:val="3F3F3F"/>
          <w:kern w:val="2"/>
          <w:sz w:val="32"/>
          <w:szCs w:val="24"/>
          <w:lang w:val="en-US" w:eastAsia="zh-CN" w:bidi="ar-SA"/>
        </w:rPr>
        <w:t xml:space="preserve">   项目名称：</w:t>
      </w:r>
      <w:r>
        <w:rPr>
          <w:rFonts w:hint="default" w:ascii="Times New Roman" w:hAnsi="Times New Roman" w:eastAsia="仿宋_GB2312" w:cs="Times New Roman"/>
          <w:color w:val="auto"/>
          <w:sz w:val="32"/>
          <w:szCs w:val="32"/>
        </w:rPr>
        <w:t>农业生产发展资金</w:t>
      </w:r>
    </w:p>
    <w:p>
      <w:pPr>
        <w:spacing w:line="700" w:lineRule="exact"/>
        <w:rPr>
          <w:rFonts w:hint="eastAsia" w:ascii="Times New Roman" w:hAnsi="Times New Roman" w:eastAsia="仿宋_GB2312" w:cs="Times New Roman"/>
          <w:color w:val="000000" w:themeColor="text1"/>
          <w:spacing w:val="-17"/>
          <w:sz w:val="36"/>
          <w:szCs w:val="36"/>
          <w:lang w:val="en-US" w:eastAsia="zh-CN"/>
          <w14:textFill>
            <w14:solidFill>
              <w14:schemeClr w14:val="tx1"/>
            </w14:solidFill>
          </w14:textFill>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snapToGrid/>
          <w:color w:val="3F3F3F"/>
          <w:kern w:val="2"/>
          <w:sz w:val="32"/>
          <w:szCs w:val="24"/>
          <w:lang w:val="en-US" w:eastAsia="zh-CN" w:bidi="ar-SA"/>
        </w:rPr>
        <w:t>实施单位（公章）：</w:t>
      </w:r>
      <w:r>
        <w:rPr>
          <w:rFonts w:hint="eastAsia" w:ascii="Times New Roman" w:hAnsi="Times New Roman" w:eastAsia="仿宋_GB2312" w:cs="Times New Roman"/>
          <w:color w:val="000000" w:themeColor="text1"/>
          <w:spacing w:val="-17"/>
          <w:sz w:val="36"/>
          <w:szCs w:val="36"/>
          <w:lang w:val="en-US" w:eastAsia="zh-CN"/>
          <w14:textFill>
            <w14:solidFill>
              <w14:schemeClr w14:val="tx1"/>
            </w14:solidFill>
          </w14:textFill>
        </w:rPr>
        <w:t>各地（州、市）农业农村（畜牧</w:t>
      </w:r>
    </w:p>
    <w:p>
      <w:pPr>
        <w:spacing w:line="700" w:lineRule="exac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000000" w:themeColor="text1"/>
          <w:spacing w:val="-17"/>
          <w:sz w:val="36"/>
          <w:szCs w:val="36"/>
          <w:lang w:val="en-US" w:eastAsia="zh-CN"/>
          <w14:textFill>
            <w14:solidFill>
              <w14:schemeClr w14:val="tx1"/>
            </w14:solidFill>
          </w14:textFill>
        </w:rPr>
        <w:t xml:space="preserve">                         兽医）局</w:t>
      </w:r>
    </w:p>
    <w:p>
      <w:pPr>
        <w:spacing w:line="700" w:lineRule="exact"/>
        <w:ind w:firstLine="758" w:firstLineChars="23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napToGrid/>
          <w:color w:val="3F3F3F"/>
          <w:kern w:val="2"/>
          <w:sz w:val="32"/>
          <w:szCs w:val="24"/>
          <w:lang w:val="en-US" w:eastAsia="zh-CN" w:bidi="ar-SA"/>
        </w:rPr>
        <w:t>主管部门（公章）：</w:t>
      </w:r>
      <w:r>
        <w:rPr>
          <w:rFonts w:hint="default" w:ascii="Times New Roman" w:hAnsi="Times New Roman" w:eastAsia="仿宋_GB2312" w:cs="Times New Roman"/>
          <w:color w:val="auto"/>
          <w:sz w:val="32"/>
          <w:szCs w:val="32"/>
        </w:rPr>
        <w:t>自治区农业农村厅</w:t>
      </w:r>
    </w:p>
    <w:p>
      <w:pPr>
        <w:spacing w:line="700" w:lineRule="exact"/>
        <w:ind w:firstLine="758" w:firstLineChars="23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napToGrid/>
          <w:color w:val="3F3F3F"/>
          <w:kern w:val="2"/>
          <w:sz w:val="32"/>
          <w:szCs w:val="24"/>
          <w:lang w:val="en-US" w:eastAsia="zh-CN" w:bidi="ar-SA"/>
        </w:rPr>
        <w:t>项目负责人（签章）</w:t>
      </w:r>
      <w:r>
        <w:rPr>
          <w:rFonts w:hint="default" w:ascii="Times New Roman" w:hAnsi="Times New Roman" w:eastAsia="仿宋_GB2312" w:cs="Times New Roman"/>
          <w:color w:val="auto"/>
          <w:sz w:val="32"/>
          <w:szCs w:val="32"/>
        </w:rPr>
        <w:t>：陈肖</w:t>
      </w:r>
    </w:p>
    <w:p>
      <w:pPr>
        <w:spacing w:line="700" w:lineRule="exact"/>
        <w:ind w:firstLine="758" w:firstLineChars="236"/>
        <w:rPr>
          <w:rFonts w:hint="default" w:ascii="Times New Roman" w:hAnsi="Times New Roman" w:eastAsia="仿宋_GB2312" w:cs="Times New Roman"/>
          <w:color w:val="auto"/>
          <w:sz w:val="32"/>
          <w:szCs w:val="32"/>
        </w:rPr>
        <w:sectPr>
          <w:pgSz w:w="11906" w:h="16838"/>
          <w:pgMar w:top="590" w:right="1803" w:bottom="590" w:left="1803" w:header="851" w:footer="992" w:gutter="0"/>
          <w:pgNumType w:fmt="numberInDash"/>
          <w:cols w:space="0" w:num="1"/>
          <w:docGrid w:type="lines" w:linePitch="332" w:charSpace="0"/>
        </w:sectPr>
      </w:pPr>
      <w:r>
        <w:rPr>
          <w:rFonts w:hint="default" w:ascii="Times New Roman" w:hAnsi="Times New Roman" w:eastAsia="仿宋_GB2312" w:cs="Times New Roman"/>
          <w:b/>
          <w:bCs/>
          <w:snapToGrid/>
          <w:color w:val="3F3F3F"/>
          <w:kern w:val="2"/>
          <w:sz w:val="32"/>
          <w:szCs w:val="24"/>
          <w:lang w:val="en-US" w:eastAsia="zh-CN" w:bidi="ar-SA"/>
        </w:rPr>
        <w:t xml:space="preserve">填报时间：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w:t>
      </w:r>
    </w:p>
    <w:p>
      <w:pPr>
        <w:pStyle w:val="2"/>
        <w:rPr>
          <w:rFonts w:hint="default"/>
        </w:rPr>
        <w:sectPr>
          <w:pgSz w:w="11906" w:h="16838"/>
          <w:pgMar w:top="590" w:right="1803" w:bottom="590" w:left="1803" w:header="851" w:footer="992" w:gutter="0"/>
          <w:pgNumType w:fmt="numberInDash"/>
          <w:cols w:space="0" w:num="1"/>
          <w:docGrid w:type="lines" w:linePitch="332" w:charSpace="0"/>
        </w:sectPr>
      </w:pPr>
    </w:p>
    <w:p>
      <w:pPr>
        <w:jc w:val="center"/>
        <w:rPr>
          <w:rFonts w:hint="eastAsia" w:ascii="方正小标宋简体" w:hAnsi="方正小标宋简体" w:eastAsia="方正小标宋简体" w:cs="方正小标宋简体"/>
          <w:b w:val="0"/>
          <w:bCs w:val="0"/>
          <w:color w:val="auto"/>
          <w:spacing w:val="-5"/>
          <w:sz w:val="40"/>
          <w:szCs w:val="40"/>
          <w:highlight w:val="none"/>
        </w:rPr>
      </w:pPr>
      <w:r>
        <w:rPr>
          <w:rFonts w:hint="eastAsia" w:ascii="方正小标宋简体" w:hAnsi="方正小标宋简体" w:eastAsia="方正小标宋简体" w:cs="方正小标宋简体"/>
          <w:b w:val="0"/>
          <w:bCs w:val="0"/>
          <w:color w:val="auto"/>
          <w:spacing w:val="-5"/>
          <w:sz w:val="40"/>
          <w:szCs w:val="40"/>
          <w:highlight w:val="none"/>
        </w:rPr>
        <w:t>新疆农业</w:t>
      </w:r>
      <w:r>
        <w:rPr>
          <w:rFonts w:hint="eastAsia" w:ascii="方正小标宋简体" w:hAnsi="方正小标宋简体" w:eastAsia="方正小标宋简体" w:cs="方正小标宋简体"/>
          <w:b w:val="0"/>
          <w:bCs w:val="0"/>
          <w:color w:val="auto"/>
          <w:spacing w:val="-5"/>
          <w:sz w:val="40"/>
          <w:szCs w:val="40"/>
          <w:highlight w:val="none"/>
          <w:lang w:val="en-US" w:eastAsia="zh-CN"/>
        </w:rPr>
        <w:t>生产发展资金</w:t>
      </w:r>
      <w:r>
        <w:rPr>
          <w:rFonts w:hint="eastAsia" w:ascii="方正小标宋简体" w:hAnsi="方正小标宋简体" w:eastAsia="方正小标宋简体" w:cs="方正小标宋简体"/>
          <w:b w:val="0"/>
          <w:bCs w:val="0"/>
          <w:color w:val="auto"/>
          <w:spacing w:val="-5"/>
          <w:sz w:val="40"/>
          <w:szCs w:val="40"/>
          <w:highlight w:val="none"/>
        </w:rPr>
        <w:t>中央专项转移支付绩效</w:t>
      </w:r>
    </w:p>
    <w:p>
      <w:pPr>
        <w:jc w:val="center"/>
        <w:rPr>
          <w:rFonts w:hint="eastAsia" w:ascii="方正小标宋简体" w:hAnsi="方正小标宋简体" w:eastAsia="方正小标宋简体" w:cs="方正小标宋简体"/>
          <w:b w:val="0"/>
          <w:bCs w:val="0"/>
          <w:color w:val="auto"/>
          <w:sz w:val="40"/>
          <w:szCs w:val="40"/>
          <w:highlight w:val="none"/>
        </w:rPr>
      </w:pPr>
      <w:r>
        <w:rPr>
          <w:rFonts w:hint="eastAsia" w:ascii="方正小标宋简体" w:hAnsi="方正小标宋简体" w:eastAsia="方正小标宋简体" w:cs="方正小标宋简体"/>
          <w:b w:val="0"/>
          <w:bCs w:val="0"/>
          <w:color w:val="auto"/>
          <w:spacing w:val="-5"/>
          <w:sz w:val="40"/>
          <w:szCs w:val="40"/>
          <w:highlight w:val="none"/>
        </w:rPr>
        <w:t>自评报告</w:t>
      </w:r>
    </w:p>
    <w:p>
      <w:pPr>
        <w:pStyle w:val="15"/>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z w:val="32"/>
          <w:szCs w:val="32"/>
          <w:highlight w:val="none"/>
        </w:rPr>
        <w:t>贯彻落实党中央全面实施预算绩效管理决策部署，根据《财政部关于开展202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年度中央对地方转移支付预算执行情况绩效自评工作的通知》（财监〔202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〕1号）要求，自治区农业农村厅高度重视，严格按规范要求组织开展了202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bCs/>
          <w:color w:val="auto"/>
          <w:sz w:val="32"/>
          <w:szCs w:val="32"/>
          <w:highlight w:val="none"/>
        </w:rPr>
        <w:t>农业生产发展专项资金</w:t>
      </w:r>
      <w:r>
        <w:rPr>
          <w:rFonts w:hint="default" w:ascii="Times New Roman" w:hAnsi="Times New Roman" w:eastAsia="仿宋_GB2312" w:cs="Times New Roman"/>
          <w:color w:val="auto"/>
          <w:sz w:val="32"/>
          <w:szCs w:val="32"/>
          <w:highlight w:val="none"/>
        </w:rPr>
        <w:t>绩效自评工作，现将自评情况报告如下：</w:t>
      </w:r>
    </w:p>
    <w:p>
      <w:pPr>
        <w:keepNext w:val="0"/>
        <w:keepLines w:val="0"/>
        <w:pageBreakBefore w:val="0"/>
        <w:wordWrap/>
        <w:overflowPunct/>
        <w:topLinePunct w:val="0"/>
        <w:bidi w:val="0"/>
        <w:spacing w:line="560" w:lineRule="exact"/>
        <w:ind w:firstLine="644" w:firstLineChars="200"/>
        <w:outlineLvl w:val="1"/>
        <w:rPr>
          <w:rFonts w:hint="default" w:ascii="Times New Roman" w:hAnsi="Times New Roman" w:eastAsia="黑体" w:cs="Times New Roman"/>
          <w:color w:val="auto"/>
          <w:spacing w:val="1"/>
          <w:sz w:val="32"/>
          <w:szCs w:val="32"/>
          <w:highlight w:val="none"/>
        </w:rPr>
      </w:pPr>
      <w:r>
        <w:rPr>
          <w:rFonts w:hint="default" w:ascii="Times New Roman" w:hAnsi="Times New Roman" w:eastAsia="黑体" w:cs="Times New Roman"/>
          <w:color w:val="auto"/>
          <w:spacing w:val="1"/>
          <w:sz w:val="32"/>
          <w:szCs w:val="32"/>
          <w:highlight w:val="none"/>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（一）中央下达农业生产发展专项转移支付预算和区域绩效目标情况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rPr>
        <w:t>下达预算情况</w:t>
      </w:r>
      <w:r>
        <w:rPr>
          <w:rFonts w:hint="default" w:ascii="Times New Roman" w:hAnsi="Times New Roman" w:cs="Times New Roman"/>
          <w:b/>
          <w:bCs/>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年度，财政部分批下达我区202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年农业生产发展资金项目，资金共计</w:t>
      </w:r>
      <w:r>
        <w:rPr>
          <w:rFonts w:hint="default" w:ascii="Times New Roman" w:hAnsi="Times New Roman" w:eastAsia="仿宋_GB2312" w:cs="Times New Roman"/>
          <w:color w:val="auto"/>
          <w:sz w:val="32"/>
          <w:szCs w:val="32"/>
          <w:highlight w:val="none"/>
          <w:lang w:val="en-US" w:eastAsia="zh-CN"/>
        </w:rPr>
        <w:t>612085</w:t>
      </w:r>
      <w:r>
        <w:rPr>
          <w:rFonts w:hint="default" w:ascii="Times New Roman" w:hAnsi="Times New Roman" w:eastAsia="仿宋_GB2312" w:cs="Times New Roman"/>
          <w:color w:val="auto"/>
          <w:sz w:val="32"/>
          <w:szCs w:val="32"/>
          <w:highlight w:val="none"/>
        </w:rPr>
        <w:t>万元，用于自治区农业生产发展。详细如下：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rPr>
        <w:t>29</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《财政部关于提前下达202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年农业相关转移支付资金预算的通知》（财农〔202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114</w:t>
      </w:r>
      <w:r>
        <w:rPr>
          <w:rFonts w:hint="default" w:ascii="Times New Roman" w:hAnsi="Times New Roman" w:eastAsia="仿宋_GB2312" w:cs="Times New Roman"/>
          <w:color w:val="auto"/>
          <w:sz w:val="32"/>
          <w:szCs w:val="32"/>
          <w:highlight w:val="none"/>
        </w:rPr>
        <w:t>号文）下达新疆农业生产发展资金项目334641万元。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2年3月11日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实际种粮农民一次性补贴资金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号文）下达新疆</w:t>
      </w:r>
      <w:r>
        <w:rPr>
          <w:rFonts w:hint="default" w:ascii="Times New Roman" w:hAnsi="Times New Roman" w:eastAsia="仿宋_GB2312" w:cs="Times New Roman"/>
          <w:color w:val="auto"/>
          <w:sz w:val="32"/>
          <w:szCs w:val="32"/>
          <w:highlight w:val="none"/>
          <w:lang w:val="en-US" w:eastAsia="zh-CN"/>
        </w:rPr>
        <w:t>种粮农民一次性补贴资金</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38356</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2年3月</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5日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号文）下达新疆农业生产发展资金项目</w:t>
      </w:r>
      <w:r>
        <w:rPr>
          <w:rFonts w:hint="default" w:ascii="Times New Roman" w:hAnsi="Times New Roman" w:eastAsia="仿宋_GB2312" w:cs="Times New Roman"/>
          <w:color w:val="auto"/>
          <w:sz w:val="32"/>
          <w:szCs w:val="32"/>
          <w:highlight w:val="none"/>
          <w:lang w:val="en-US" w:eastAsia="zh-CN"/>
        </w:rPr>
        <w:t>10000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2年4月19日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号文）下达新疆农业生产发展资金项目</w:t>
      </w:r>
      <w:r>
        <w:rPr>
          <w:rFonts w:hint="default" w:ascii="Times New Roman" w:hAnsi="Times New Roman" w:eastAsia="仿宋_GB2312" w:cs="Times New Roman"/>
          <w:color w:val="auto"/>
          <w:sz w:val="32"/>
          <w:szCs w:val="32"/>
          <w:highlight w:val="none"/>
          <w:lang w:val="en-US" w:eastAsia="zh-CN"/>
        </w:rPr>
        <w:t>191960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2年5月21日</w:t>
      </w:r>
      <w:r>
        <w:rPr>
          <w:rFonts w:hint="default" w:ascii="Times New Roman" w:hAnsi="Times New Roman" w:eastAsia="仿宋_GB2312" w:cs="Times New Roman"/>
          <w:color w:val="auto"/>
          <w:sz w:val="32"/>
          <w:szCs w:val="32"/>
          <w:highlight w:val="none"/>
        </w:rPr>
        <w:t>《财政部关于再次下达2022年实际种粮农民一次性补贴资金预算的通知》（财农〔202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号文）下达新疆</w:t>
      </w:r>
      <w:r>
        <w:rPr>
          <w:rFonts w:hint="default" w:ascii="Times New Roman" w:hAnsi="Times New Roman" w:eastAsia="仿宋_GB2312" w:cs="Times New Roman"/>
          <w:color w:val="auto"/>
          <w:sz w:val="32"/>
          <w:szCs w:val="32"/>
          <w:highlight w:val="none"/>
          <w:lang w:val="en-US" w:eastAsia="zh-CN"/>
        </w:rPr>
        <w:t>种粮农民一次性补贴资金</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17260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2022年8月29日《财政部关于再次下达2022年实际种粮农民一次性补贴资金预算的通知》（财农〔2022〕74号文）下达新疆种粮农民一次性补贴资金项目19868万元。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2.下达绩效目标情况：</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auto"/>
          <w:sz w:val="32"/>
          <w:szCs w:val="32"/>
          <w:highlight w:val="none"/>
          <w:lang w:val="en-US" w:eastAsia="zh-CN"/>
        </w:rPr>
        <w:t>2022年财政部未对新疆种粮农民一次性补贴资金下达区域绩效目标表，根据</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号文）</w:t>
      </w:r>
      <w:r>
        <w:rPr>
          <w:rFonts w:hint="default" w:ascii="Times New Roman" w:hAnsi="Times New Roman" w:eastAsia="仿宋_GB2312" w:cs="Times New Roman"/>
          <w:color w:val="auto"/>
          <w:sz w:val="32"/>
          <w:szCs w:val="32"/>
          <w:highlight w:val="none"/>
          <w:lang w:val="en-US" w:eastAsia="zh-CN"/>
        </w:rPr>
        <w:t>下达新疆农业生产发展资金区域绩效目标，情况详见下表：</w:t>
      </w:r>
    </w:p>
    <w:p>
      <w:pPr>
        <w:spacing w:before="22" w:line="219" w:lineRule="auto"/>
        <w:jc w:val="center"/>
        <w:rPr>
          <w:rFonts w:hint="default" w:ascii="Times New Roman" w:hAnsi="Times New Roman" w:eastAsia="宋体" w:cs="Times New Roman"/>
          <w:b/>
          <w:bCs/>
          <w:spacing w:val="-11"/>
          <w:sz w:val="28"/>
          <w:szCs w:val="28"/>
          <w:highlight w:val="none"/>
        </w:rPr>
      </w:pPr>
      <w:r>
        <w:rPr>
          <w:rFonts w:hint="default" w:ascii="Times New Roman" w:hAnsi="Times New Roman" w:eastAsia="宋体" w:cs="Times New Roman"/>
          <w:b/>
          <w:bCs/>
          <w:spacing w:val="-11"/>
          <w:sz w:val="28"/>
          <w:szCs w:val="28"/>
          <w:highlight w:val="none"/>
        </w:rPr>
        <w:t>农业生产发展资金区域绩效目标表</w:t>
      </w:r>
    </w:p>
    <w:p>
      <w:pPr>
        <w:spacing w:before="15" w:line="209" w:lineRule="auto"/>
        <w:jc w:val="center"/>
        <w:rPr>
          <w:rFonts w:hint="default" w:ascii="Times New Roman" w:hAnsi="Times New Roman" w:cs="Times New Roman"/>
          <w:highlight w:val="none"/>
        </w:rPr>
      </w:pPr>
      <w:r>
        <w:rPr>
          <w:rFonts w:hint="default" w:ascii="Times New Roman" w:hAnsi="Times New Roman" w:eastAsia="宋体" w:cs="Times New Roman"/>
          <w:b/>
          <w:bCs/>
          <w:spacing w:val="2"/>
          <w:sz w:val="28"/>
          <w:szCs w:val="28"/>
          <w:highlight w:val="none"/>
          <w:lang w:eastAsia="zh-CN"/>
        </w:rPr>
        <w:t>（</w:t>
      </w:r>
      <w:r>
        <w:rPr>
          <w:rFonts w:hint="default" w:ascii="Times New Roman" w:hAnsi="Times New Roman" w:eastAsia="宋体" w:cs="Times New Roman"/>
          <w:b/>
          <w:bCs/>
          <w:spacing w:val="2"/>
          <w:sz w:val="28"/>
          <w:szCs w:val="28"/>
          <w:highlight w:val="none"/>
        </w:rPr>
        <w:t>2022年度</w:t>
      </w:r>
      <w:r>
        <w:rPr>
          <w:rFonts w:hint="default" w:ascii="Times New Roman" w:hAnsi="Times New Roman" w:eastAsia="宋体" w:cs="Times New Roman"/>
          <w:b/>
          <w:bCs/>
          <w:spacing w:val="2"/>
          <w:sz w:val="28"/>
          <w:szCs w:val="28"/>
          <w:highlight w:val="none"/>
          <w:lang w:eastAsia="zh-CN"/>
        </w:rPr>
        <w:t>）</w:t>
      </w:r>
    </w:p>
    <w:tbl>
      <w:tblPr>
        <w:tblStyle w:val="16"/>
        <w:tblW w:w="8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804"/>
        <w:gridCol w:w="1068"/>
        <w:gridCol w:w="4548"/>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7058" w:type="dxa"/>
            <w:gridSpan w:val="4"/>
            <w:vAlign w:val="top"/>
          </w:tcPr>
          <w:p>
            <w:pPr>
              <w:spacing w:before="41" w:line="214" w:lineRule="auto"/>
              <w:ind w:left="3314"/>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资金名称</w:t>
            </w:r>
          </w:p>
        </w:tc>
        <w:tc>
          <w:tcPr>
            <w:tcW w:w="1548" w:type="dxa"/>
            <w:vAlign w:val="top"/>
          </w:tcPr>
          <w:p>
            <w:pPr>
              <w:spacing w:before="60" w:line="18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农业生产发展资金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7058" w:type="dxa"/>
            <w:gridSpan w:val="4"/>
            <w:vAlign w:val="top"/>
          </w:tcPr>
          <w:p>
            <w:pPr>
              <w:spacing w:before="26" w:line="219" w:lineRule="auto"/>
              <w:ind w:left="317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中央主管部门</w:t>
            </w:r>
          </w:p>
        </w:tc>
        <w:tc>
          <w:tcPr>
            <w:tcW w:w="1548" w:type="dxa"/>
            <w:vAlign w:val="top"/>
          </w:tcPr>
          <w:p>
            <w:pPr>
              <w:spacing w:before="55" w:line="190"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7058" w:type="dxa"/>
            <w:gridSpan w:val="4"/>
            <w:vAlign w:val="top"/>
          </w:tcPr>
          <w:p>
            <w:pPr>
              <w:spacing w:before="26" w:line="219" w:lineRule="auto"/>
              <w:ind w:left="317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省级财政部门</w:t>
            </w:r>
          </w:p>
        </w:tc>
        <w:tc>
          <w:tcPr>
            <w:tcW w:w="1548" w:type="dxa"/>
            <w:vAlign w:val="top"/>
          </w:tcPr>
          <w:p>
            <w:pPr>
              <w:spacing w:before="36" w:line="215"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新疆维吾尔自治区财政厅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058" w:type="dxa"/>
            <w:gridSpan w:val="4"/>
            <w:vAlign w:val="center"/>
          </w:tcPr>
          <w:p>
            <w:pPr>
              <w:spacing w:before="56" w:line="219" w:lineRule="auto"/>
              <w:ind w:left="3175"/>
              <w:jc w:val="both"/>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省级主管部门</w:t>
            </w:r>
          </w:p>
        </w:tc>
        <w:tc>
          <w:tcPr>
            <w:tcW w:w="1548" w:type="dxa"/>
            <w:vAlign w:val="top"/>
          </w:tcPr>
          <w:p>
            <w:pPr>
              <w:spacing w:before="75" w:line="21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lang w:eastAsia="zh-CN"/>
              </w:rPr>
              <w:t>新疆维吾尔</w:t>
            </w:r>
            <w:r>
              <w:rPr>
                <w:rFonts w:hint="default" w:ascii="Times New Roman" w:hAnsi="Times New Roman" w:eastAsia="宋体" w:cs="Times New Roman"/>
                <w:spacing w:val="-1"/>
                <w:sz w:val="14"/>
                <w:szCs w:val="14"/>
                <w:highlight w:val="none"/>
              </w:rPr>
              <w:t>自治区农业农村厅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restart"/>
            <w:tcBorders>
              <w:bottom w:val="nil"/>
            </w:tcBorders>
            <w:vAlign w:val="top"/>
          </w:tcPr>
          <w:p>
            <w:pPr>
              <w:spacing w:before="237" w:line="219" w:lineRule="auto"/>
              <w:ind w:left="4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资金</w:t>
            </w:r>
            <w:r>
              <w:rPr>
                <w:rFonts w:hint="default" w:ascii="Times New Roman" w:hAnsi="Times New Roman" w:eastAsia="宋体" w:cs="Times New Roman"/>
                <w:spacing w:val="-3"/>
                <w:sz w:val="14"/>
                <w:szCs w:val="14"/>
                <w:highlight w:val="none"/>
                <w:lang w:eastAsia="zh-CN"/>
              </w:rPr>
              <w:t>情况</w:t>
            </w:r>
          </w:p>
        </w:tc>
        <w:tc>
          <w:tcPr>
            <w:tcW w:w="6420" w:type="dxa"/>
            <w:gridSpan w:val="3"/>
            <w:vAlign w:val="top"/>
          </w:tcPr>
          <w:p>
            <w:pPr>
              <w:spacing w:before="27" w:line="219" w:lineRule="auto"/>
              <w:ind w:left="2770"/>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年度金额</w:t>
            </w:r>
            <w:r>
              <w:rPr>
                <w:rFonts w:hint="default" w:ascii="Times New Roman" w:hAnsi="Times New Roman" w:eastAsia="宋体" w:cs="Times New Roman"/>
                <w:spacing w:val="3"/>
                <w:sz w:val="14"/>
                <w:szCs w:val="14"/>
                <w:highlight w:val="none"/>
                <w:lang w:eastAsia="zh-CN"/>
              </w:rPr>
              <w:t>（</w:t>
            </w:r>
            <w:r>
              <w:rPr>
                <w:rFonts w:hint="default" w:ascii="Times New Roman" w:hAnsi="Times New Roman" w:eastAsia="宋体" w:cs="Times New Roman"/>
                <w:spacing w:val="3"/>
                <w:sz w:val="14"/>
                <w:szCs w:val="14"/>
                <w:highlight w:val="none"/>
              </w:rPr>
              <w:t>万元</w:t>
            </w:r>
            <w:r>
              <w:rPr>
                <w:rFonts w:hint="default" w:ascii="Times New Roman" w:hAnsi="Times New Roman" w:eastAsia="宋体" w:cs="Times New Roman"/>
                <w:spacing w:val="3"/>
                <w:sz w:val="14"/>
                <w:szCs w:val="14"/>
                <w:highlight w:val="none"/>
                <w:lang w:eastAsia="zh-CN"/>
              </w:rPr>
              <w:t>）</w:t>
            </w:r>
          </w:p>
        </w:tc>
        <w:tc>
          <w:tcPr>
            <w:tcW w:w="1548" w:type="dxa"/>
            <w:vAlign w:val="top"/>
          </w:tcPr>
          <w:p>
            <w:pPr>
              <w:spacing w:before="93" w:line="106" w:lineRule="exact"/>
              <w:ind w:left="728"/>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position w:val="-2"/>
                <w:sz w:val="14"/>
                <w:szCs w:val="14"/>
                <w:highlight w:val="none"/>
              </w:rPr>
              <w:t>574957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6420" w:type="dxa"/>
            <w:gridSpan w:val="3"/>
            <w:vAlign w:val="top"/>
          </w:tcPr>
          <w:p>
            <w:pPr>
              <w:spacing w:before="28" w:line="220" w:lineRule="auto"/>
              <w:ind w:left="2770"/>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其中：中央补助</w:t>
            </w:r>
          </w:p>
        </w:tc>
        <w:tc>
          <w:tcPr>
            <w:tcW w:w="1548" w:type="dxa"/>
            <w:vAlign w:val="top"/>
          </w:tcPr>
          <w:p>
            <w:pPr>
              <w:spacing w:before="93" w:line="106" w:lineRule="exact"/>
              <w:ind w:left="728"/>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position w:val="-2"/>
                <w:sz w:val="14"/>
                <w:szCs w:val="14"/>
                <w:highlight w:val="none"/>
              </w:rPr>
              <w:t>574957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tcBorders>
            <w:vAlign w:val="top"/>
          </w:tcPr>
          <w:p>
            <w:pPr>
              <w:rPr>
                <w:rFonts w:hint="default" w:ascii="Times New Roman" w:hAnsi="Times New Roman" w:cs="Times New Roman"/>
                <w:sz w:val="21"/>
                <w:highlight w:val="none"/>
              </w:rPr>
            </w:pPr>
          </w:p>
        </w:tc>
        <w:tc>
          <w:tcPr>
            <w:tcW w:w="6420" w:type="dxa"/>
            <w:gridSpan w:val="3"/>
            <w:vAlign w:val="top"/>
          </w:tcPr>
          <w:p>
            <w:pPr>
              <w:spacing w:before="58" w:line="186" w:lineRule="auto"/>
              <w:ind w:left="2981"/>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地方资金</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38" w:type="dxa"/>
            <w:vAlign w:val="top"/>
          </w:tcPr>
          <w:p>
            <w:pPr>
              <w:spacing w:before="67" w:line="219" w:lineRule="auto"/>
              <w:ind w:left="4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年度目标</w:t>
            </w:r>
          </w:p>
        </w:tc>
        <w:tc>
          <w:tcPr>
            <w:tcW w:w="7968" w:type="dxa"/>
            <w:gridSpan w:val="4"/>
            <w:vAlign w:val="top"/>
          </w:tcPr>
          <w:p>
            <w:pPr>
              <w:spacing w:before="67" w:line="219" w:lineRule="auto"/>
              <w:ind w:left="20"/>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按照相关规划或实施方案，根据任务</w:t>
            </w:r>
            <w:r>
              <w:rPr>
                <w:rFonts w:hint="default" w:ascii="Times New Roman" w:hAnsi="Times New Roman" w:eastAsia="宋体" w:cs="Times New Roman"/>
                <w:spacing w:val="2"/>
                <w:sz w:val="14"/>
                <w:szCs w:val="14"/>
                <w:highlight w:val="none"/>
                <w:lang w:val="en-US" w:eastAsia="zh-CN"/>
              </w:rPr>
              <w:t>清单</w:t>
            </w:r>
            <w:r>
              <w:rPr>
                <w:rFonts w:hint="default" w:ascii="Times New Roman" w:hAnsi="Times New Roman" w:eastAsia="宋体" w:cs="Times New Roman"/>
                <w:spacing w:val="2"/>
                <w:sz w:val="14"/>
                <w:szCs w:val="14"/>
                <w:highlight w:val="none"/>
              </w:rPr>
              <w:t>并结合地方实际支持农业生产发展。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restart"/>
            <w:tcBorders>
              <w:bottom w:val="nil"/>
            </w:tcBorders>
            <w:vAlign w:val="top"/>
          </w:tcPr>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line="246" w:lineRule="auto"/>
              <w:rPr>
                <w:rFonts w:hint="default" w:ascii="Times New Roman" w:hAnsi="Times New Roman" w:cs="Times New Roman"/>
                <w:sz w:val="21"/>
                <w:highlight w:val="none"/>
              </w:rPr>
            </w:pPr>
          </w:p>
          <w:p>
            <w:pPr>
              <w:spacing w:before="46" w:line="220" w:lineRule="auto"/>
              <w:ind w:left="45"/>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绩效目标</w:t>
            </w:r>
          </w:p>
        </w:tc>
        <w:tc>
          <w:tcPr>
            <w:tcW w:w="804" w:type="dxa"/>
            <w:vAlign w:val="top"/>
          </w:tcPr>
          <w:p>
            <w:pPr>
              <w:spacing w:before="58" w:line="186" w:lineRule="auto"/>
              <w:ind w:left="40"/>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一级指标</w:t>
            </w:r>
          </w:p>
        </w:tc>
        <w:tc>
          <w:tcPr>
            <w:tcW w:w="1068" w:type="dxa"/>
            <w:vAlign w:val="top"/>
          </w:tcPr>
          <w:p>
            <w:pPr>
              <w:spacing w:before="39" w:line="212"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二级指标</w:t>
            </w:r>
          </w:p>
        </w:tc>
        <w:tc>
          <w:tcPr>
            <w:tcW w:w="4548" w:type="dxa"/>
            <w:vAlign w:val="top"/>
          </w:tcPr>
          <w:p>
            <w:pPr>
              <w:spacing w:before="38" w:line="213" w:lineRule="auto"/>
              <w:ind w:left="1872"/>
              <w:rPr>
                <w:rFonts w:hint="default" w:ascii="Times New Roman" w:hAnsi="Times New Roman" w:eastAsia="宋体" w:cs="Times New Roman"/>
                <w:sz w:val="14"/>
                <w:szCs w:val="14"/>
                <w:highlight w:val="none"/>
                <w:lang w:val="en-US" w:eastAsia="zh-CN"/>
              </w:rPr>
            </w:pPr>
            <w:r>
              <w:rPr>
                <w:rFonts w:hint="default" w:ascii="Times New Roman" w:hAnsi="Times New Roman" w:eastAsia="宋体" w:cs="Times New Roman"/>
                <w:spacing w:val="11"/>
                <w:sz w:val="14"/>
                <w:szCs w:val="14"/>
                <w:highlight w:val="none"/>
              </w:rPr>
              <w:t>三级</w:t>
            </w:r>
            <w:r>
              <w:rPr>
                <w:rFonts w:hint="default" w:ascii="Times New Roman" w:hAnsi="Times New Roman" w:eastAsia="宋体" w:cs="Times New Roman"/>
                <w:spacing w:val="11"/>
                <w:sz w:val="14"/>
                <w:szCs w:val="14"/>
                <w:highlight w:val="none"/>
                <w:lang w:val="en-US" w:eastAsia="zh-CN"/>
              </w:rPr>
              <w:t>指标</w:t>
            </w:r>
          </w:p>
        </w:tc>
        <w:tc>
          <w:tcPr>
            <w:tcW w:w="1548" w:type="dxa"/>
            <w:vAlign w:val="top"/>
          </w:tcPr>
          <w:p>
            <w:pPr>
              <w:spacing w:before="38" w:line="213" w:lineRule="auto"/>
              <w:ind w:left="728"/>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restart"/>
            <w:tcBorders>
              <w:bottom w:val="nil"/>
            </w:tcBorders>
            <w:vAlign w:val="top"/>
          </w:tcPr>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49"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line="250" w:lineRule="auto"/>
              <w:jc w:val="center"/>
              <w:rPr>
                <w:rFonts w:hint="default" w:ascii="Times New Roman" w:hAnsi="Times New Roman" w:cs="Times New Roman"/>
                <w:sz w:val="21"/>
                <w:highlight w:val="none"/>
              </w:rPr>
            </w:pPr>
          </w:p>
          <w:p>
            <w:pPr>
              <w:spacing w:before="45" w:line="219" w:lineRule="auto"/>
              <w:ind w:left="40"/>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产出指标</w:t>
            </w:r>
          </w:p>
        </w:tc>
        <w:tc>
          <w:tcPr>
            <w:tcW w:w="1068" w:type="dxa"/>
            <w:vMerge w:val="restart"/>
            <w:tcBorders>
              <w:bottom w:val="nil"/>
            </w:tcBorders>
            <w:vAlign w:val="top"/>
          </w:tcPr>
          <w:p>
            <w:pPr>
              <w:spacing w:line="247"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line="248" w:lineRule="auto"/>
              <w:jc w:val="center"/>
              <w:rPr>
                <w:rFonts w:hint="default" w:ascii="Times New Roman" w:hAnsi="Times New Roman" w:cs="Times New Roman"/>
                <w:sz w:val="21"/>
                <w:highlight w:val="none"/>
              </w:rPr>
            </w:pPr>
          </w:p>
          <w:p>
            <w:pPr>
              <w:spacing w:before="46" w:line="21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lang w:val="en-US" w:eastAsia="zh-CN"/>
              </w:rPr>
              <w:t>数量</w:t>
            </w:r>
            <w:r>
              <w:rPr>
                <w:rFonts w:hint="default" w:ascii="Times New Roman" w:hAnsi="Times New Roman" w:eastAsia="宋体" w:cs="Times New Roman"/>
                <w:spacing w:val="-2"/>
                <w:sz w:val="14"/>
                <w:szCs w:val="14"/>
                <w:highlight w:val="none"/>
              </w:rPr>
              <w:t>指标</w:t>
            </w:r>
          </w:p>
        </w:tc>
        <w:tc>
          <w:tcPr>
            <w:tcW w:w="4548" w:type="dxa"/>
            <w:vAlign w:val="top"/>
          </w:tcPr>
          <w:p>
            <w:pPr>
              <w:spacing w:before="38"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2"/>
                <w:sz w:val="14"/>
                <w:szCs w:val="14"/>
                <w:highlight w:val="none"/>
              </w:rPr>
              <w:t>农机购置与应用补贴机具数</w:t>
            </w:r>
            <w:r>
              <w:rPr>
                <w:rFonts w:hint="default" w:ascii="Times New Roman" w:hAnsi="Times New Roman" w:eastAsia="宋体" w:cs="Times New Roman"/>
                <w:spacing w:val="12"/>
                <w:sz w:val="14"/>
                <w:szCs w:val="14"/>
                <w:highlight w:val="none"/>
                <w:lang w:eastAsia="zh-CN"/>
              </w:rPr>
              <w:t>（</w:t>
            </w:r>
            <w:r>
              <w:rPr>
                <w:rFonts w:hint="default" w:ascii="Times New Roman" w:hAnsi="Times New Roman" w:eastAsia="宋体" w:cs="Times New Roman"/>
                <w:spacing w:val="12"/>
                <w:sz w:val="14"/>
                <w:szCs w:val="14"/>
                <w:highlight w:val="none"/>
              </w:rPr>
              <w:t>台</w:t>
            </w:r>
            <w:r>
              <w:rPr>
                <w:rFonts w:hint="default" w:ascii="Times New Roman" w:hAnsi="Times New Roman" w:eastAsia="宋体" w:cs="Times New Roman"/>
                <w:spacing w:val="12"/>
                <w:sz w:val="14"/>
                <w:szCs w:val="14"/>
                <w:highlight w:val="none"/>
                <w:lang w:eastAsia="zh-CN"/>
              </w:rPr>
              <w:t>（</w:t>
            </w:r>
            <w:r>
              <w:rPr>
                <w:rFonts w:hint="default" w:ascii="Times New Roman" w:hAnsi="Times New Roman" w:eastAsia="宋体" w:cs="Times New Roman"/>
                <w:spacing w:val="12"/>
                <w:sz w:val="14"/>
                <w:szCs w:val="14"/>
                <w:highlight w:val="none"/>
              </w:rPr>
              <w:t>套</w:t>
            </w:r>
            <w:r>
              <w:rPr>
                <w:rFonts w:hint="default" w:ascii="Times New Roman" w:hAnsi="Times New Roman" w:eastAsia="宋体" w:cs="Times New Roman"/>
                <w:spacing w:val="12"/>
                <w:sz w:val="14"/>
                <w:szCs w:val="14"/>
                <w:highlight w:val="none"/>
                <w:lang w:eastAsia="zh-CN"/>
              </w:rPr>
              <w:t>））</w:t>
            </w:r>
          </w:p>
        </w:tc>
        <w:tc>
          <w:tcPr>
            <w:tcW w:w="1548" w:type="dxa"/>
            <w:vAlign w:val="top"/>
          </w:tcPr>
          <w:p>
            <w:pPr>
              <w:spacing w:before="64" w:line="177"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开展农机购置与应用补贴试点</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105" w:line="95" w:lineRule="exact"/>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position w:val="-2"/>
                <w:sz w:val="14"/>
                <w:szCs w:val="1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开展农机研发制造推广应用一体化试点</w:t>
            </w:r>
            <w:r>
              <w:rPr>
                <w:rFonts w:hint="default" w:ascii="Times New Roman" w:hAnsi="Times New Roman" w:eastAsia="宋体" w:cs="Times New Roman"/>
                <w:spacing w:val="4"/>
                <w:sz w:val="14"/>
                <w:szCs w:val="14"/>
                <w:highlight w:val="none"/>
                <w:lang w:eastAsia="zh-CN"/>
              </w:rPr>
              <w:t>（</w:t>
            </w:r>
            <w:r>
              <w:rPr>
                <w:rFonts w:hint="default" w:ascii="Times New Roman" w:hAnsi="Times New Roman" w:eastAsia="宋体" w:cs="Times New Roman"/>
                <w:spacing w:val="4"/>
                <w:sz w:val="14"/>
                <w:szCs w:val="14"/>
                <w:highlight w:val="none"/>
              </w:rPr>
              <w:t>个</w:t>
            </w:r>
            <w:r>
              <w:rPr>
                <w:rFonts w:hint="default" w:ascii="Times New Roman" w:hAnsi="Times New Roman" w:eastAsia="宋体" w:cs="Times New Roman"/>
                <w:spacing w:val="4"/>
                <w:sz w:val="14"/>
                <w:szCs w:val="14"/>
                <w:highlight w:val="none"/>
                <w:lang w:eastAsia="zh-CN"/>
              </w:rPr>
              <w:t>）</w:t>
            </w:r>
          </w:p>
        </w:tc>
        <w:tc>
          <w:tcPr>
            <w:tcW w:w="1548" w:type="dxa"/>
            <w:vAlign w:val="top"/>
          </w:tcPr>
          <w:p>
            <w:pPr>
              <w:spacing w:before="95" w:line="105" w:lineRule="exact"/>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position w:val="-2"/>
                <w:sz w:val="14"/>
                <w:szCs w:val="1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7"/>
                <w:sz w:val="14"/>
                <w:szCs w:val="14"/>
                <w:highlight w:val="none"/>
              </w:rPr>
              <w:t>绿色</w:t>
            </w:r>
            <w:r>
              <w:rPr>
                <w:rFonts w:hint="default" w:ascii="Times New Roman" w:hAnsi="Times New Roman" w:eastAsia="宋体" w:cs="Times New Roman"/>
                <w:spacing w:val="7"/>
                <w:sz w:val="14"/>
                <w:szCs w:val="14"/>
                <w:highlight w:val="none"/>
                <w:lang w:eastAsia="zh-CN"/>
              </w:rPr>
              <w:t>高质</w:t>
            </w:r>
            <w:r>
              <w:rPr>
                <w:rFonts w:hint="default" w:ascii="Times New Roman" w:hAnsi="Times New Roman" w:eastAsia="宋体" w:cs="Times New Roman"/>
                <w:spacing w:val="7"/>
                <w:sz w:val="14"/>
                <w:szCs w:val="14"/>
                <w:highlight w:val="none"/>
              </w:rPr>
              <w:t>高效行动县数量</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个</w:t>
            </w:r>
            <w:r>
              <w:rPr>
                <w:rFonts w:hint="default" w:ascii="Times New Roman" w:hAnsi="Times New Roman" w:eastAsia="宋体" w:cs="Times New Roman"/>
                <w:spacing w:val="7"/>
                <w:sz w:val="14"/>
                <w:szCs w:val="14"/>
                <w:highlight w:val="none"/>
                <w:lang w:eastAsia="zh-CN"/>
              </w:rPr>
              <w:t>）</w:t>
            </w:r>
          </w:p>
        </w:tc>
        <w:tc>
          <w:tcPr>
            <w:tcW w:w="1548" w:type="dxa"/>
            <w:vAlign w:val="top"/>
          </w:tcPr>
          <w:p>
            <w:pPr>
              <w:spacing w:before="75" w:line="164" w:lineRule="auto"/>
              <w:ind w:left="86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7"/>
                <w:sz w:val="14"/>
                <w:szCs w:val="14"/>
                <w:highlight w:val="none"/>
              </w:rPr>
              <w:t>站层农技人员培训数</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人</w:t>
            </w:r>
            <w:r>
              <w:rPr>
                <w:rFonts w:hint="default" w:ascii="Times New Roman" w:hAnsi="Times New Roman" w:eastAsia="宋体" w:cs="Times New Roman"/>
                <w:spacing w:val="7"/>
                <w:sz w:val="14"/>
                <w:szCs w:val="14"/>
                <w:highlight w:val="none"/>
                <w:lang w:eastAsia="zh-CN"/>
              </w:rPr>
              <w:t>）</w:t>
            </w:r>
          </w:p>
        </w:tc>
        <w:tc>
          <w:tcPr>
            <w:tcW w:w="1548" w:type="dxa"/>
            <w:vAlign w:val="top"/>
          </w:tcPr>
          <w:p>
            <w:pPr>
              <w:spacing w:before="65" w:line="177" w:lineRule="auto"/>
              <w:ind w:left="79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28"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7"/>
                <w:sz w:val="14"/>
                <w:szCs w:val="14"/>
                <w:highlight w:val="none"/>
              </w:rPr>
              <w:t>农业科技示范展示基地数量</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个</w:t>
            </w:r>
            <w:r>
              <w:rPr>
                <w:rFonts w:hint="default" w:ascii="Times New Roman" w:hAnsi="Times New Roman" w:eastAsia="宋体" w:cs="Times New Roman"/>
                <w:spacing w:val="7"/>
                <w:sz w:val="14"/>
                <w:szCs w:val="14"/>
                <w:highlight w:val="none"/>
                <w:lang w:eastAsia="zh-CN"/>
              </w:rPr>
              <w:t>）</w:t>
            </w:r>
          </w:p>
        </w:tc>
        <w:tc>
          <w:tcPr>
            <w:tcW w:w="1548" w:type="dxa"/>
            <w:vAlign w:val="top"/>
          </w:tcPr>
          <w:p>
            <w:pPr>
              <w:spacing w:before="74" w:line="165"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糖料</w:t>
            </w:r>
            <w:r>
              <w:rPr>
                <w:rFonts w:hint="default" w:ascii="Times New Roman" w:hAnsi="Times New Roman" w:eastAsia="宋体" w:cs="Times New Roman"/>
                <w:spacing w:val="6"/>
                <w:sz w:val="14"/>
                <w:szCs w:val="14"/>
                <w:highlight w:val="none"/>
                <w:lang w:val="en-US" w:eastAsia="zh-CN"/>
              </w:rPr>
              <w:t>蔗</w:t>
            </w:r>
            <w:r>
              <w:rPr>
                <w:rFonts w:hint="default" w:ascii="Times New Roman" w:hAnsi="Times New Roman" w:eastAsia="宋体" w:cs="Times New Roman"/>
                <w:spacing w:val="6"/>
                <w:sz w:val="14"/>
                <w:szCs w:val="14"/>
                <w:highlight w:val="none"/>
              </w:rPr>
              <w:t>良种推广面积</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万亩</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109" w:line="91" w:lineRule="exact"/>
              <w:ind w:left="79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position w:val="-2"/>
                <w:sz w:val="14"/>
                <w:szCs w:val="1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糖料</w:t>
            </w:r>
            <w:r>
              <w:rPr>
                <w:rFonts w:hint="default" w:ascii="Times New Roman" w:hAnsi="Times New Roman" w:eastAsia="宋体" w:cs="Times New Roman"/>
                <w:spacing w:val="6"/>
                <w:sz w:val="14"/>
                <w:szCs w:val="14"/>
                <w:highlight w:val="none"/>
                <w:lang w:val="en-US" w:eastAsia="zh-CN"/>
              </w:rPr>
              <w:t>蔗</w:t>
            </w:r>
            <w:r>
              <w:rPr>
                <w:rFonts w:hint="default" w:ascii="Times New Roman" w:hAnsi="Times New Roman" w:eastAsia="宋体" w:cs="Times New Roman"/>
                <w:spacing w:val="6"/>
                <w:sz w:val="14"/>
                <w:szCs w:val="14"/>
                <w:highlight w:val="none"/>
              </w:rPr>
              <w:t>良法技术推广面积</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万亩</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天然橡胶良种良法推广面积</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lang w:val="en-US" w:eastAsia="zh-CN"/>
              </w:rPr>
              <w:t>万亩）</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9"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8"/>
                <w:sz w:val="14"/>
                <w:szCs w:val="14"/>
                <w:highlight w:val="none"/>
              </w:rPr>
              <w:t>支持奶牛</w:t>
            </w:r>
            <w:r>
              <w:rPr>
                <w:rFonts w:hint="default" w:ascii="Times New Roman" w:hAnsi="Times New Roman" w:eastAsia="宋体" w:cs="Times New Roman"/>
                <w:spacing w:val="8"/>
                <w:sz w:val="14"/>
                <w:szCs w:val="14"/>
                <w:highlight w:val="none"/>
                <w:lang w:eastAsia="zh-CN"/>
              </w:rPr>
              <w:t>（</w:t>
            </w:r>
            <w:r>
              <w:rPr>
                <w:rFonts w:hint="default" w:ascii="Times New Roman" w:hAnsi="Times New Roman" w:eastAsia="宋体" w:cs="Times New Roman"/>
                <w:spacing w:val="8"/>
                <w:sz w:val="14"/>
                <w:szCs w:val="14"/>
                <w:highlight w:val="none"/>
              </w:rPr>
              <w:t>奶畜</w:t>
            </w:r>
            <w:r>
              <w:rPr>
                <w:rFonts w:hint="default" w:ascii="Times New Roman" w:hAnsi="Times New Roman" w:eastAsia="宋体" w:cs="Times New Roman"/>
                <w:spacing w:val="8"/>
                <w:sz w:val="14"/>
                <w:szCs w:val="14"/>
                <w:highlight w:val="none"/>
                <w:lang w:eastAsia="zh-CN"/>
              </w:rPr>
              <w:t>）</w:t>
            </w:r>
            <w:r>
              <w:rPr>
                <w:rFonts w:hint="default" w:ascii="Times New Roman" w:hAnsi="Times New Roman" w:eastAsia="宋体" w:cs="Times New Roman"/>
                <w:spacing w:val="8"/>
                <w:sz w:val="14"/>
                <w:szCs w:val="14"/>
                <w:highlight w:val="none"/>
              </w:rPr>
              <w:t>家庭牧场和奶农合作社升级改造的</w:t>
            </w:r>
            <w:r>
              <w:rPr>
                <w:rFonts w:hint="default" w:ascii="Times New Roman" w:hAnsi="Times New Roman" w:eastAsia="宋体" w:cs="Times New Roman"/>
                <w:spacing w:val="8"/>
                <w:sz w:val="14"/>
                <w:szCs w:val="14"/>
                <w:highlight w:val="none"/>
                <w:lang w:val="en-US" w:eastAsia="zh-CN"/>
              </w:rPr>
              <w:t>数量（</w:t>
            </w:r>
            <w:r>
              <w:rPr>
                <w:rFonts w:hint="default" w:ascii="Times New Roman" w:hAnsi="Times New Roman" w:eastAsia="宋体" w:cs="Times New Roman"/>
                <w:spacing w:val="8"/>
                <w:sz w:val="14"/>
                <w:szCs w:val="14"/>
                <w:highlight w:val="none"/>
              </w:rPr>
              <w:t>个</w:t>
            </w:r>
            <w:r>
              <w:rPr>
                <w:rFonts w:hint="default" w:ascii="Times New Roman" w:hAnsi="Times New Roman" w:eastAsia="宋体" w:cs="Times New Roman"/>
                <w:spacing w:val="8"/>
                <w:sz w:val="14"/>
                <w:szCs w:val="14"/>
                <w:highlight w:val="none"/>
                <w:lang w:eastAsia="zh-CN"/>
              </w:rPr>
              <w:t>）</w:t>
            </w:r>
          </w:p>
        </w:tc>
        <w:tc>
          <w:tcPr>
            <w:tcW w:w="1548" w:type="dxa"/>
            <w:vAlign w:val="top"/>
          </w:tcPr>
          <w:p>
            <w:pPr>
              <w:spacing w:before="55" w:line="183" w:lineRule="auto"/>
              <w:ind w:left="86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农产品产地冷藏保鲜设施建设数</w:t>
            </w:r>
            <w:r>
              <w:rPr>
                <w:rFonts w:hint="default" w:ascii="Times New Roman" w:hAnsi="Times New Roman" w:eastAsia="宋体" w:cs="Times New Roman"/>
                <w:spacing w:val="5"/>
                <w:sz w:val="14"/>
                <w:szCs w:val="14"/>
                <w:highlight w:val="none"/>
                <w:lang w:val="en-US" w:eastAsia="zh-CN"/>
              </w:rPr>
              <w:t>量（</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75" w:line="164" w:lineRule="auto"/>
              <w:ind w:left="86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支持的农民合作社数量</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个</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75" w:line="164"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9"/>
                <w:sz w:val="14"/>
                <w:szCs w:val="14"/>
                <w:highlight w:val="none"/>
              </w:rPr>
              <w:t>支持的家庭农场</w:t>
            </w:r>
            <w:r>
              <w:rPr>
                <w:rFonts w:hint="default" w:ascii="Times New Roman" w:hAnsi="Times New Roman" w:eastAsia="宋体" w:cs="Times New Roman"/>
                <w:spacing w:val="9"/>
                <w:sz w:val="14"/>
                <w:szCs w:val="14"/>
                <w:highlight w:val="none"/>
                <w:lang w:val="en-US" w:eastAsia="zh-CN"/>
              </w:rPr>
              <w:t>数量（</w:t>
            </w:r>
            <w:r>
              <w:rPr>
                <w:rFonts w:hint="default" w:ascii="Times New Roman" w:hAnsi="Times New Roman" w:eastAsia="宋体" w:cs="Times New Roman"/>
                <w:spacing w:val="9"/>
                <w:sz w:val="14"/>
                <w:szCs w:val="14"/>
                <w:highlight w:val="none"/>
              </w:rPr>
              <w:t>个</w:t>
            </w:r>
            <w:r>
              <w:rPr>
                <w:rFonts w:hint="default" w:ascii="Times New Roman" w:hAnsi="Times New Roman" w:eastAsia="宋体" w:cs="Times New Roman"/>
                <w:spacing w:val="9"/>
                <w:sz w:val="14"/>
                <w:szCs w:val="14"/>
                <w:highlight w:val="none"/>
                <w:lang w:eastAsia="zh-CN"/>
              </w:rPr>
              <w:t>）</w:t>
            </w:r>
          </w:p>
        </w:tc>
        <w:tc>
          <w:tcPr>
            <w:tcW w:w="1548" w:type="dxa"/>
            <w:vAlign w:val="top"/>
          </w:tcPr>
          <w:p>
            <w:pPr>
              <w:spacing w:before="65" w:line="178"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2"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农业生产托管服务面积</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万亩</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75" w:line="164"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0"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9"/>
                <w:sz w:val="14"/>
                <w:szCs w:val="14"/>
                <w:highlight w:val="none"/>
              </w:rPr>
              <w:t>高素成农民培育数量</w:t>
            </w:r>
            <w:r>
              <w:rPr>
                <w:rFonts w:hint="default" w:ascii="Times New Roman" w:hAnsi="Times New Roman" w:eastAsia="宋体" w:cs="Times New Roman"/>
                <w:spacing w:val="9"/>
                <w:sz w:val="14"/>
                <w:szCs w:val="14"/>
                <w:highlight w:val="none"/>
                <w:lang w:eastAsia="zh-CN"/>
              </w:rPr>
              <w:t>（</w:t>
            </w:r>
            <w:r>
              <w:rPr>
                <w:rFonts w:hint="default" w:ascii="Times New Roman" w:hAnsi="Times New Roman" w:eastAsia="宋体" w:cs="Times New Roman"/>
                <w:spacing w:val="9"/>
                <w:sz w:val="14"/>
                <w:szCs w:val="14"/>
                <w:highlight w:val="none"/>
              </w:rPr>
              <w:t>人</w:t>
            </w:r>
            <w:r>
              <w:rPr>
                <w:rFonts w:hint="default" w:ascii="Times New Roman" w:hAnsi="Times New Roman" w:eastAsia="宋体" w:cs="Times New Roman"/>
                <w:spacing w:val="9"/>
                <w:sz w:val="14"/>
                <w:szCs w:val="14"/>
                <w:highlight w:val="none"/>
                <w:lang w:eastAsia="zh-CN"/>
              </w:rPr>
              <w:t>）</w:t>
            </w:r>
          </w:p>
        </w:tc>
        <w:tc>
          <w:tcPr>
            <w:tcW w:w="1548" w:type="dxa"/>
            <w:vAlign w:val="top"/>
          </w:tcPr>
          <w:p>
            <w:pPr>
              <w:spacing w:before="65" w:line="176"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25450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9"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农村实用人才带头人示范培训数量</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rPr>
              <w:t>人</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66" w:line="176"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0" w:line="210"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新创建国家现代农业产业园数量</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个</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66" w:line="176"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0"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新建设优势特色产业</w:t>
            </w:r>
            <w:r>
              <w:rPr>
                <w:rFonts w:hint="default" w:ascii="Times New Roman" w:hAnsi="Times New Roman" w:eastAsia="宋体" w:cs="Times New Roman"/>
                <w:spacing w:val="5"/>
                <w:sz w:val="14"/>
                <w:szCs w:val="14"/>
                <w:highlight w:val="none"/>
                <w:lang w:val="en-US" w:eastAsia="zh-CN"/>
              </w:rPr>
              <w:t>集群</w:t>
            </w:r>
            <w:r>
              <w:rPr>
                <w:rFonts w:hint="default" w:ascii="Times New Roman" w:hAnsi="Times New Roman" w:eastAsia="宋体" w:cs="Times New Roman"/>
                <w:spacing w:val="5"/>
                <w:sz w:val="14"/>
                <w:szCs w:val="14"/>
                <w:highlight w:val="none"/>
              </w:rPr>
              <w:t>数量</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76" w:line="161"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1" w:line="20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新创建农业产业强镇数</w:t>
            </w:r>
            <w:r>
              <w:rPr>
                <w:rFonts w:hint="default" w:ascii="Times New Roman" w:hAnsi="Times New Roman" w:eastAsia="宋体" w:cs="Times New Roman"/>
                <w:spacing w:val="6"/>
                <w:sz w:val="14"/>
                <w:szCs w:val="14"/>
                <w:highlight w:val="none"/>
                <w:lang w:val="en-US" w:eastAsia="zh-CN"/>
              </w:rPr>
              <w:t>量（</w:t>
            </w:r>
            <w:r>
              <w:rPr>
                <w:rFonts w:hint="default" w:ascii="Times New Roman" w:hAnsi="Times New Roman" w:eastAsia="宋体" w:cs="Times New Roman"/>
                <w:spacing w:val="6"/>
                <w:sz w:val="14"/>
                <w:szCs w:val="14"/>
                <w:highlight w:val="none"/>
              </w:rPr>
              <w:t>个</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68" w:line="173"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1"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9"/>
                <w:sz w:val="14"/>
                <w:szCs w:val="14"/>
                <w:highlight w:val="none"/>
              </w:rPr>
              <w:t>高产优质苜蓿</w:t>
            </w:r>
            <w:r>
              <w:rPr>
                <w:rFonts w:hint="default" w:ascii="Times New Roman" w:hAnsi="Times New Roman" w:eastAsia="宋体" w:cs="Times New Roman"/>
                <w:spacing w:val="9"/>
                <w:sz w:val="14"/>
                <w:szCs w:val="14"/>
                <w:highlight w:val="none"/>
                <w:lang w:eastAsia="zh-CN"/>
              </w:rPr>
              <w:t>种植</w:t>
            </w:r>
            <w:r>
              <w:rPr>
                <w:rFonts w:hint="default" w:ascii="Times New Roman" w:hAnsi="Times New Roman" w:eastAsia="宋体" w:cs="Times New Roman"/>
                <w:spacing w:val="9"/>
                <w:sz w:val="14"/>
                <w:szCs w:val="14"/>
                <w:highlight w:val="none"/>
              </w:rPr>
              <w:t>面积</w:t>
            </w:r>
            <w:r>
              <w:rPr>
                <w:rFonts w:hint="default" w:ascii="Times New Roman" w:hAnsi="Times New Roman" w:eastAsia="宋体" w:cs="Times New Roman"/>
                <w:spacing w:val="9"/>
                <w:sz w:val="14"/>
                <w:szCs w:val="14"/>
                <w:highlight w:val="none"/>
                <w:lang w:eastAsia="zh-CN"/>
              </w:rPr>
              <w:t>（</w:t>
            </w:r>
            <w:r>
              <w:rPr>
                <w:rFonts w:hint="default" w:ascii="Times New Roman" w:hAnsi="Times New Roman" w:eastAsia="宋体" w:cs="Times New Roman"/>
                <w:spacing w:val="9"/>
                <w:sz w:val="14"/>
                <w:szCs w:val="14"/>
                <w:highlight w:val="none"/>
              </w:rPr>
              <w:t>万亩</w:t>
            </w:r>
            <w:r>
              <w:rPr>
                <w:rFonts w:hint="default" w:ascii="Times New Roman" w:hAnsi="Times New Roman" w:eastAsia="宋体" w:cs="Times New Roman"/>
                <w:spacing w:val="9"/>
                <w:sz w:val="14"/>
                <w:szCs w:val="14"/>
                <w:highlight w:val="none"/>
                <w:lang w:eastAsia="zh-CN"/>
              </w:rPr>
              <w:t>）</w:t>
            </w:r>
          </w:p>
        </w:tc>
        <w:tc>
          <w:tcPr>
            <w:tcW w:w="1548" w:type="dxa"/>
            <w:vAlign w:val="top"/>
          </w:tcPr>
          <w:p>
            <w:pPr>
              <w:spacing w:before="67" w:line="173"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1"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6"/>
                <w:sz w:val="14"/>
                <w:szCs w:val="14"/>
                <w:highlight w:val="none"/>
              </w:rPr>
              <w:t>牧区良种补贴数证</w:t>
            </w:r>
            <w:r>
              <w:rPr>
                <w:rFonts w:hint="default" w:ascii="Times New Roman" w:hAnsi="Times New Roman" w:eastAsia="宋体" w:cs="Times New Roman"/>
                <w:spacing w:val="6"/>
                <w:sz w:val="14"/>
                <w:szCs w:val="14"/>
                <w:highlight w:val="none"/>
                <w:lang w:eastAsia="zh-CN"/>
              </w:rPr>
              <w:t>（</w:t>
            </w:r>
            <w:r>
              <w:rPr>
                <w:rFonts w:hint="default" w:ascii="Times New Roman" w:hAnsi="Times New Roman" w:eastAsia="宋体" w:cs="Times New Roman"/>
                <w:spacing w:val="6"/>
                <w:sz w:val="14"/>
                <w:szCs w:val="14"/>
                <w:highlight w:val="none"/>
              </w:rPr>
              <w:t>万份牛精液单位</w:t>
            </w:r>
            <w:r>
              <w:rPr>
                <w:rFonts w:hint="default" w:ascii="Times New Roman" w:hAnsi="Times New Roman" w:eastAsia="宋体" w:cs="Times New Roman"/>
                <w:spacing w:val="6"/>
                <w:sz w:val="14"/>
                <w:szCs w:val="14"/>
                <w:highlight w:val="none"/>
                <w:lang w:eastAsia="zh-CN"/>
              </w:rPr>
              <w:t>）</w:t>
            </w:r>
          </w:p>
        </w:tc>
        <w:tc>
          <w:tcPr>
            <w:tcW w:w="1548" w:type="dxa"/>
            <w:vAlign w:val="top"/>
          </w:tcPr>
          <w:p>
            <w:pPr>
              <w:spacing w:before="68" w:line="174"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8"/>
                <w:sz w:val="14"/>
                <w:szCs w:val="14"/>
                <w:highlight w:val="none"/>
              </w:rPr>
              <w:t>粮改饲结构调整面积</w:t>
            </w:r>
            <w:r>
              <w:rPr>
                <w:rFonts w:hint="default" w:ascii="Times New Roman" w:hAnsi="Times New Roman" w:eastAsia="宋体" w:cs="Times New Roman"/>
                <w:spacing w:val="8"/>
                <w:sz w:val="14"/>
                <w:szCs w:val="14"/>
                <w:highlight w:val="none"/>
                <w:lang w:eastAsia="zh-CN"/>
              </w:rPr>
              <w:t>（</w:t>
            </w:r>
            <w:r>
              <w:rPr>
                <w:rFonts w:hint="default" w:ascii="Times New Roman" w:hAnsi="Times New Roman" w:eastAsia="宋体" w:cs="Times New Roman"/>
                <w:spacing w:val="8"/>
                <w:sz w:val="14"/>
                <w:szCs w:val="14"/>
                <w:highlight w:val="none"/>
              </w:rPr>
              <w:t>万</w:t>
            </w:r>
            <w:r>
              <w:rPr>
                <w:rFonts w:hint="default" w:ascii="Times New Roman" w:hAnsi="Times New Roman" w:eastAsia="宋体" w:cs="Times New Roman"/>
                <w:spacing w:val="8"/>
                <w:sz w:val="14"/>
                <w:szCs w:val="14"/>
                <w:highlight w:val="none"/>
                <w:lang w:val="en-US" w:eastAsia="zh-CN"/>
              </w:rPr>
              <w:t>亩）</w:t>
            </w:r>
          </w:p>
        </w:tc>
        <w:tc>
          <w:tcPr>
            <w:tcW w:w="1548" w:type="dxa"/>
            <w:vAlign w:val="top"/>
          </w:tcPr>
          <w:p>
            <w:pPr>
              <w:spacing w:before="78" w:line="160"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支持发展地理标志农产品</w:t>
            </w:r>
            <w:r>
              <w:rPr>
                <w:rFonts w:hint="default" w:ascii="Times New Roman" w:hAnsi="Times New Roman" w:eastAsia="宋体" w:cs="Times New Roman"/>
                <w:spacing w:val="5"/>
                <w:sz w:val="14"/>
                <w:szCs w:val="14"/>
                <w:highlight w:val="none"/>
                <w:lang w:val="en-US" w:eastAsia="zh-CN"/>
              </w:rPr>
              <w:t>数量（</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99" w:line="101" w:lineRule="exact"/>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position w:val="-2"/>
                <w:sz w:val="14"/>
                <w:szCs w:val="14"/>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2"/>
                <w:sz w:val="14"/>
                <w:szCs w:val="14"/>
                <w:highlight w:val="none"/>
              </w:rPr>
              <w:t>生猪良种补贴数</w:t>
            </w:r>
            <w:r>
              <w:rPr>
                <w:rFonts w:hint="default" w:ascii="Times New Roman" w:hAnsi="Times New Roman" w:eastAsia="宋体" w:cs="Times New Roman"/>
                <w:spacing w:val="22"/>
                <w:sz w:val="14"/>
                <w:szCs w:val="14"/>
                <w:highlight w:val="none"/>
                <w:lang w:eastAsia="zh-CN"/>
              </w:rPr>
              <w:t>（</w:t>
            </w:r>
            <w:r>
              <w:rPr>
                <w:rFonts w:hint="default" w:ascii="Times New Roman" w:hAnsi="Times New Roman" w:eastAsia="宋体" w:cs="Times New Roman"/>
                <w:spacing w:val="22"/>
                <w:sz w:val="14"/>
                <w:szCs w:val="14"/>
                <w:highlight w:val="none"/>
              </w:rPr>
              <w:t>万头</w:t>
            </w:r>
            <w:r>
              <w:rPr>
                <w:rFonts w:hint="default" w:ascii="Times New Roman" w:hAnsi="Times New Roman" w:eastAsia="宋体" w:cs="Times New Roman"/>
                <w:spacing w:val="22"/>
                <w:sz w:val="14"/>
                <w:szCs w:val="14"/>
                <w:highlight w:val="none"/>
                <w:lang w:eastAsia="zh-CN"/>
              </w:rPr>
              <w:t>）</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1"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7"/>
                <w:sz w:val="14"/>
                <w:szCs w:val="14"/>
                <w:highlight w:val="none"/>
              </w:rPr>
              <w:t>支持国家级</w:t>
            </w:r>
            <w:r>
              <w:rPr>
                <w:rFonts w:hint="default" w:ascii="Times New Roman" w:hAnsi="Times New Roman" w:eastAsia="宋体" w:cs="Times New Roman"/>
                <w:spacing w:val="7"/>
                <w:sz w:val="14"/>
                <w:szCs w:val="14"/>
                <w:highlight w:val="none"/>
                <w:lang w:val="en-US" w:eastAsia="zh-CN"/>
              </w:rPr>
              <w:t>畜禽遗</w:t>
            </w:r>
            <w:r>
              <w:rPr>
                <w:rFonts w:hint="default" w:ascii="Times New Roman" w:hAnsi="Times New Roman" w:eastAsia="宋体" w:cs="Times New Roman"/>
                <w:spacing w:val="7"/>
                <w:sz w:val="14"/>
                <w:szCs w:val="14"/>
                <w:highlight w:val="none"/>
              </w:rPr>
              <w:t>传资源保护品种保护单位</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场、区、库</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数量</w:t>
            </w:r>
            <w:r>
              <w:rPr>
                <w:rFonts w:hint="default" w:ascii="Times New Roman" w:hAnsi="Times New Roman" w:eastAsia="宋体" w:cs="Times New Roman"/>
                <w:spacing w:val="7"/>
                <w:sz w:val="14"/>
                <w:szCs w:val="14"/>
                <w:highlight w:val="none"/>
                <w:lang w:eastAsia="zh-CN"/>
              </w:rPr>
              <w:t>（</w:t>
            </w:r>
            <w:r>
              <w:rPr>
                <w:rFonts w:hint="default" w:ascii="Times New Roman" w:hAnsi="Times New Roman" w:eastAsia="宋体" w:cs="Times New Roman"/>
                <w:spacing w:val="7"/>
                <w:sz w:val="14"/>
                <w:szCs w:val="14"/>
                <w:highlight w:val="none"/>
              </w:rPr>
              <w:t>个</w:t>
            </w:r>
            <w:r>
              <w:rPr>
                <w:rFonts w:hint="default" w:ascii="Times New Roman" w:hAnsi="Times New Roman" w:eastAsia="宋体" w:cs="Times New Roman"/>
                <w:spacing w:val="7"/>
                <w:sz w:val="14"/>
                <w:szCs w:val="14"/>
                <w:highlight w:val="none"/>
                <w:lang w:eastAsia="zh-CN"/>
              </w:rPr>
              <w:t>）</w:t>
            </w:r>
          </w:p>
        </w:tc>
        <w:tc>
          <w:tcPr>
            <w:tcW w:w="1548" w:type="dxa"/>
            <w:vAlign w:val="top"/>
          </w:tcPr>
          <w:p>
            <w:pPr>
              <w:spacing w:before="58" w:line="183"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2"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8"/>
                <w:sz w:val="14"/>
                <w:szCs w:val="14"/>
                <w:highlight w:val="none"/>
              </w:rPr>
              <w:t>种畜禽生产性能测定</w:t>
            </w:r>
            <w:r>
              <w:rPr>
                <w:rFonts w:hint="default" w:ascii="Times New Roman" w:hAnsi="Times New Roman" w:eastAsia="宋体" w:cs="Times New Roman"/>
                <w:spacing w:val="8"/>
                <w:sz w:val="14"/>
                <w:szCs w:val="14"/>
                <w:highlight w:val="none"/>
                <w:lang w:val="en-US" w:eastAsia="zh-CN"/>
              </w:rPr>
              <w:t>数量（</w:t>
            </w:r>
            <w:r>
              <w:rPr>
                <w:rFonts w:hint="default" w:ascii="Times New Roman" w:hAnsi="Times New Roman" w:eastAsia="宋体" w:cs="Times New Roman"/>
                <w:spacing w:val="8"/>
                <w:sz w:val="14"/>
                <w:szCs w:val="14"/>
                <w:highlight w:val="none"/>
              </w:rPr>
              <w:t>只、头</w:t>
            </w:r>
            <w:r>
              <w:rPr>
                <w:rFonts w:hint="default" w:ascii="Times New Roman" w:hAnsi="Times New Roman" w:eastAsia="宋体" w:cs="Times New Roman"/>
                <w:spacing w:val="8"/>
                <w:sz w:val="14"/>
                <w:szCs w:val="14"/>
                <w:highlight w:val="none"/>
                <w:lang w:eastAsia="zh-CN"/>
              </w:rPr>
              <w:t>）</w:t>
            </w:r>
          </w:p>
        </w:tc>
        <w:tc>
          <w:tcPr>
            <w:tcW w:w="1548" w:type="dxa"/>
            <w:vAlign w:val="top"/>
          </w:tcPr>
          <w:p>
            <w:pPr>
              <w:spacing w:before="78" w:line="160"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39533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项目实施县新增</w:t>
            </w:r>
            <w:r>
              <w:rPr>
                <w:rFonts w:hint="default" w:ascii="Times New Roman" w:hAnsi="Times New Roman" w:eastAsia="宋体" w:cs="Times New Roman"/>
                <w:spacing w:val="-1"/>
                <w:sz w:val="14"/>
                <w:szCs w:val="14"/>
                <w:highlight w:val="none"/>
                <w:lang w:val="en-US" w:eastAsia="zh-CN"/>
              </w:rPr>
              <w:t>犊</w:t>
            </w:r>
            <w:r>
              <w:rPr>
                <w:rFonts w:hint="default" w:ascii="Times New Roman" w:hAnsi="Times New Roman" w:eastAsia="宋体" w:cs="Times New Roman"/>
                <w:spacing w:val="-1"/>
                <w:sz w:val="14"/>
                <w:szCs w:val="14"/>
                <w:highlight w:val="none"/>
              </w:rPr>
              <w:t>母牛年增长率</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1" w:line="20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项目实施县牛羊肉产量增幅</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建设</w:t>
            </w:r>
            <w:r>
              <w:rPr>
                <w:rFonts w:hint="default" w:ascii="Times New Roman" w:hAnsi="Times New Roman" w:eastAsia="宋体" w:cs="Times New Roman"/>
                <w:spacing w:val="4"/>
                <w:sz w:val="14"/>
                <w:szCs w:val="14"/>
                <w:highlight w:val="none"/>
                <w:lang w:eastAsia="zh-CN"/>
              </w:rPr>
              <w:t>高效</w:t>
            </w:r>
            <w:r>
              <w:rPr>
                <w:rFonts w:hint="default" w:ascii="Times New Roman" w:hAnsi="Times New Roman" w:eastAsia="宋体" w:cs="Times New Roman"/>
                <w:spacing w:val="4"/>
                <w:sz w:val="14"/>
                <w:szCs w:val="14"/>
                <w:highlight w:val="none"/>
              </w:rPr>
              <w:t>优质蜂产业发展示范区</w:t>
            </w:r>
            <w:r>
              <w:rPr>
                <w:rFonts w:hint="default" w:ascii="Times New Roman" w:hAnsi="Times New Roman" w:eastAsia="宋体" w:cs="Times New Roman"/>
                <w:spacing w:val="4"/>
                <w:sz w:val="14"/>
                <w:szCs w:val="14"/>
                <w:highlight w:val="none"/>
                <w:lang w:eastAsia="zh-CN"/>
              </w:rPr>
              <w:t>（</w:t>
            </w:r>
            <w:r>
              <w:rPr>
                <w:rFonts w:hint="default" w:ascii="Times New Roman" w:hAnsi="Times New Roman" w:eastAsia="宋体" w:cs="Times New Roman"/>
                <w:spacing w:val="4"/>
                <w:sz w:val="14"/>
                <w:szCs w:val="14"/>
                <w:highlight w:val="none"/>
              </w:rPr>
              <w:t>个</w:t>
            </w:r>
            <w:r>
              <w:rPr>
                <w:rFonts w:hint="default" w:ascii="Times New Roman" w:hAnsi="Times New Roman" w:eastAsia="宋体" w:cs="Times New Roman"/>
                <w:spacing w:val="4"/>
                <w:sz w:val="14"/>
                <w:szCs w:val="14"/>
                <w:highlight w:val="none"/>
                <w:lang w:eastAsia="zh-CN"/>
              </w:rPr>
              <w:t>）</w:t>
            </w:r>
          </w:p>
        </w:tc>
        <w:tc>
          <w:tcPr>
            <w:tcW w:w="1548" w:type="dxa"/>
            <w:vAlign w:val="top"/>
          </w:tcPr>
          <w:p>
            <w:pPr>
              <w:spacing w:line="200" w:lineRule="exact"/>
              <w:rPr>
                <w:rFonts w:hint="default" w:ascii="Times New Roman" w:hAnsi="Times New Roman" w:cs="Times New Roman"/>
                <w:sz w:val="1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8"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乡村产业振兴带头人“头雁”培育数做</w:t>
            </w:r>
            <w:r>
              <w:rPr>
                <w:rFonts w:hint="default" w:ascii="Times New Roman" w:hAnsi="Times New Roman" w:eastAsia="宋体" w:cs="Times New Roman"/>
                <w:spacing w:val="4"/>
                <w:sz w:val="14"/>
                <w:szCs w:val="14"/>
                <w:highlight w:val="none"/>
                <w:lang w:eastAsia="zh-CN"/>
              </w:rPr>
              <w:t>（</w:t>
            </w:r>
            <w:r>
              <w:rPr>
                <w:rFonts w:hint="default" w:ascii="Times New Roman" w:hAnsi="Times New Roman" w:eastAsia="宋体" w:cs="Times New Roman"/>
                <w:spacing w:val="4"/>
                <w:sz w:val="14"/>
                <w:szCs w:val="14"/>
                <w:highlight w:val="none"/>
              </w:rPr>
              <w:t>人</w:t>
            </w:r>
            <w:r>
              <w:rPr>
                <w:rFonts w:hint="default" w:ascii="Times New Roman" w:hAnsi="Times New Roman" w:eastAsia="宋体" w:cs="Times New Roman"/>
                <w:spacing w:val="4"/>
                <w:sz w:val="14"/>
                <w:szCs w:val="14"/>
                <w:highlight w:val="none"/>
                <w:lang w:eastAsia="zh-CN"/>
              </w:rPr>
              <w:t>）</w:t>
            </w:r>
          </w:p>
        </w:tc>
        <w:tc>
          <w:tcPr>
            <w:tcW w:w="1548" w:type="dxa"/>
            <w:vAlign w:val="top"/>
          </w:tcPr>
          <w:p>
            <w:pPr>
              <w:spacing w:before="68" w:line="173" w:lineRule="auto"/>
              <w:ind w:left="82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2" w:line="206"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9"/>
                <w:sz w:val="14"/>
                <w:szCs w:val="14"/>
                <w:highlight w:val="none"/>
              </w:rPr>
              <w:t>农作物高效蜂授粉面积</w:t>
            </w:r>
            <w:r>
              <w:rPr>
                <w:rFonts w:hint="default" w:ascii="Times New Roman" w:hAnsi="Times New Roman" w:eastAsia="宋体" w:cs="Times New Roman"/>
                <w:spacing w:val="9"/>
                <w:sz w:val="14"/>
                <w:szCs w:val="14"/>
                <w:highlight w:val="none"/>
                <w:lang w:eastAsia="zh-CN"/>
              </w:rPr>
              <w:t>（</w:t>
            </w:r>
            <w:r>
              <w:rPr>
                <w:rFonts w:hint="default" w:ascii="Times New Roman" w:hAnsi="Times New Roman" w:eastAsia="宋体" w:cs="Times New Roman"/>
                <w:spacing w:val="9"/>
                <w:sz w:val="14"/>
                <w:szCs w:val="14"/>
                <w:highlight w:val="none"/>
              </w:rPr>
              <w:t>万面</w:t>
            </w:r>
            <w:r>
              <w:rPr>
                <w:rFonts w:hint="default" w:ascii="Times New Roman" w:hAnsi="Times New Roman" w:eastAsia="宋体" w:cs="Times New Roman"/>
                <w:spacing w:val="9"/>
                <w:sz w:val="14"/>
                <w:szCs w:val="14"/>
                <w:highlight w:val="none"/>
                <w:lang w:eastAsia="zh-CN"/>
              </w:rPr>
              <w:t>）</w:t>
            </w:r>
          </w:p>
        </w:tc>
        <w:tc>
          <w:tcPr>
            <w:tcW w:w="1548" w:type="dxa"/>
            <w:vAlign w:val="top"/>
          </w:tcPr>
          <w:p>
            <w:pPr>
              <w:spacing w:before="108" w:line="91" w:lineRule="exact"/>
              <w:ind w:left="898"/>
              <w:rPr>
                <w:rFonts w:hint="default" w:ascii="Times New Roman" w:hAnsi="Times New Roman" w:eastAsia="宋体" w:cs="Times New Roman"/>
                <w:sz w:val="13"/>
                <w:szCs w:val="13"/>
                <w:highlight w:val="none"/>
              </w:rPr>
            </w:pPr>
            <w:r>
              <w:rPr>
                <w:rFonts w:hint="default" w:ascii="Times New Roman" w:hAnsi="Times New Roman" w:eastAsia="宋体" w:cs="Times New Roman"/>
                <w:position w:val="-2"/>
                <w:sz w:val="14"/>
                <w:szCs w:val="1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3" w:line="206"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奶业生产能力提升整县推进县数量</w:t>
            </w:r>
            <w:r>
              <w:rPr>
                <w:rFonts w:hint="default" w:ascii="Times New Roman" w:hAnsi="Times New Roman" w:eastAsia="宋体" w:cs="Times New Roman"/>
                <w:spacing w:val="5"/>
                <w:sz w:val="14"/>
                <w:szCs w:val="14"/>
                <w:highlight w:val="none"/>
                <w:lang w:eastAsia="zh-CN"/>
              </w:rPr>
              <w:t>（</w:t>
            </w:r>
            <w:r>
              <w:rPr>
                <w:rFonts w:hint="default" w:ascii="Times New Roman" w:hAnsi="Times New Roman" w:eastAsia="宋体" w:cs="Times New Roman"/>
                <w:spacing w:val="5"/>
                <w:sz w:val="14"/>
                <w:szCs w:val="14"/>
                <w:highlight w:val="none"/>
              </w:rPr>
              <w:t>个</w:t>
            </w:r>
            <w:r>
              <w:rPr>
                <w:rFonts w:hint="default" w:ascii="Times New Roman" w:hAnsi="Times New Roman" w:eastAsia="宋体" w:cs="Times New Roman"/>
                <w:spacing w:val="5"/>
                <w:sz w:val="14"/>
                <w:szCs w:val="14"/>
                <w:highlight w:val="none"/>
                <w:lang w:eastAsia="zh-CN"/>
              </w:rPr>
              <w:t>）</w:t>
            </w:r>
          </w:p>
        </w:tc>
        <w:tc>
          <w:tcPr>
            <w:tcW w:w="1548" w:type="dxa"/>
            <w:vAlign w:val="top"/>
          </w:tcPr>
          <w:p>
            <w:pPr>
              <w:spacing w:before="59" w:line="183" w:lineRule="auto"/>
              <w:ind w:left="898"/>
              <w:rPr>
                <w:rFonts w:hint="default" w:ascii="Times New Roman" w:hAnsi="Times New Roman" w:eastAsia="宋体" w:cs="Times New Roman"/>
                <w:sz w:val="14"/>
                <w:szCs w:val="14"/>
                <w:highlight w:val="none"/>
              </w:rPr>
            </w:pPr>
            <w:r>
              <w:rPr>
                <w:rFonts w:hint="default" w:ascii="Times New Roman" w:hAnsi="Times New Roman" w:eastAsia="宋体" w:cs="Times New Roman"/>
                <w:sz w:val="14"/>
                <w:szCs w:val="1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restart"/>
            <w:tcBorders>
              <w:bottom w:val="nil"/>
            </w:tcBorders>
            <w:vAlign w:val="top"/>
          </w:tcPr>
          <w:p>
            <w:pPr>
              <w:spacing w:before="244" w:line="220"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质量指标</w:t>
            </w:r>
          </w:p>
        </w:tc>
        <w:tc>
          <w:tcPr>
            <w:tcW w:w="4548" w:type="dxa"/>
            <w:vAlign w:val="top"/>
          </w:tcPr>
          <w:p>
            <w:pPr>
              <w:spacing w:before="43" w:line="207"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农作物耕种收综合机械化率</w:t>
            </w:r>
          </w:p>
        </w:tc>
        <w:tc>
          <w:tcPr>
            <w:tcW w:w="1548" w:type="dxa"/>
            <w:vAlign w:val="top"/>
          </w:tcPr>
          <w:p>
            <w:pPr>
              <w:spacing w:before="69" w:line="172" w:lineRule="auto"/>
              <w:ind w:left="728"/>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85.40%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4548" w:type="dxa"/>
            <w:vAlign w:val="top"/>
          </w:tcPr>
          <w:p>
            <w:pPr>
              <w:spacing w:before="33"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农业主推技术到位率</w:t>
            </w:r>
          </w:p>
        </w:tc>
        <w:tc>
          <w:tcPr>
            <w:tcW w:w="1548" w:type="dxa"/>
            <w:vAlign w:val="top"/>
          </w:tcPr>
          <w:p>
            <w:pPr>
              <w:spacing w:before="47" w:line="201"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Merge w:val="continue"/>
            <w:tcBorders>
              <w:top w:val="nil"/>
            </w:tcBorders>
            <w:vAlign w:val="top"/>
          </w:tcPr>
          <w:p>
            <w:pPr>
              <w:jc w:val="center"/>
              <w:rPr>
                <w:rFonts w:hint="default" w:ascii="Times New Roman" w:hAnsi="Times New Roman" w:cs="Times New Roman"/>
                <w:sz w:val="21"/>
                <w:highlight w:val="none"/>
              </w:rPr>
            </w:pPr>
          </w:p>
        </w:tc>
        <w:tc>
          <w:tcPr>
            <w:tcW w:w="4548" w:type="dxa"/>
            <w:vAlign w:val="top"/>
          </w:tcPr>
          <w:p>
            <w:pPr>
              <w:spacing w:before="43" w:line="207"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小麦弱苗转壮及稳产增产效果</w:t>
            </w:r>
          </w:p>
        </w:tc>
        <w:tc>
          <w:tcPr>
            <w:tcW w:w="1548" w:type="dxa"/>
            <w:vAlign w:val="top"/>
          </w:tcPr>
          <w:p>
            <w:pPr>
              <w:spacing w:before="23" w:line="219" w:lineRule="auto"/>
              <w:ind w:left="79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Align w:val="top"/>
          </w:tcPr>
          <w:p>
            <w:pPr>
              <w:spacing w:before="44" w:line="205"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时效指标</w:t>
            </w:r>
          </w:p>
        </w:tc>
        <w:tc>
          <w:tcPr>
            <w:tcW w:w="4548" w:type="dxa"/>
            <w:vAlign w:val="top"/>
          </w:tcPr>
          <w:p>
            <w:pPr>
              <w:spacing w:before="43" w:line="207"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耕地地力保护补贴发放时限</w:t>
            </w:r>
          </w:p>
        </w:tc>
        <w:tc>
          <w:tcPr>
            <w:tcW w:w="1548" w:type="dxa"/>
            <w:vAlign w:val="top"/>
          </w:tcPr>
          <w:p>
            <w:pPr>
              <w:spacing w:before="33" w:line="219" w:lineRule="auto"/>
              <w:ind w:left="68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5"/>
                <w:sz w:val="14"/>
                <w:szCs w:val="14"/>
                <w:highlight w:val="none"/>
              </w:rPr>
              <w:t>6月30日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tcBorders>
            <w:vAlign w:val="top"/>
          </w:tcPr>
          <w:p>
            <w:pPr>
              <w:jc w:val="center"/>
              <w:rPr>
                <w:rFonts w:hint="default" w:ascii="Times New Roman" w:hAnsi="Times New Roman" w:cs="Times New Roman"/>
                <w:sz w:val="21"/>
                <w:highlight w:val="none"/>
              </w:rPr>
            </w:pPr>
          </w:p>
        </w:tc>
        <w:tc>
          <w:tcPr>
            <w:tcW w:w="1068" w:type="dxa"/>
            <w:vAlign w:val="top"/>
          </w:tcPr>
          <w:p>
            <w:pPr>
              <w:spacing w:before="43" w:line="207"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成本指标</w:t>
            </w:r>
          </w:p>
        </w:tc>
        <w:tc>
          <w:tcPr>
            <w:tcW w:w="4548" w:type="dxa"/>
            <w:vAlign w:val="top"/>
          </w:tcPr>
          <w:p>
            <w:pPr>
              <w:spacing w:before="32"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绿色高质高效创建项目区节本增效水平</w:t>
            </w:r>
          </w:p>
        </w:tc>
        <w:tc>
          <w:tcPr>
            <w:tcW w:w="1548" w:type="dxa"/>
            <w:vAlign w:val="top"/>
          </w:tcPr>
          <w:p>
            <w:pPr>
              <w:spacing w:before="80" w:line="158" w:lineRule="auto"/>
              <w:ind w:left="81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3"/>
                <w:sz w:val="14"/>
                <w:szCs w:val="1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restart"/>
            <w:tcBorders>
              <w:bottom w:val="nil"/>
            </w:tcBorders>
            <w:vAlign w:val="top"/>
          </w:tcPr>
          <w:p>
            <w:pPr>
              <w:spacing w:line="296" w:lineRule="auto"/>
              <w:jc w:val="center"/>
              <w:rPr>
                <w:rFonts w:hint="default" w:ascii="Times New Roman" w:hAnsi="Times New Roman" w:cs="Times New Roman"/>
                <w:sz w:val="21"/>
                <w:highlight w:val="none"/>
              </w:rPr>
            </w:pPr>
          </w:p>
          <w:p>
            <w:pPr>
              <w:spacing w:before="46" w:line="220" w:lineRule="auto"/>
              <w:ind w:left="40"/>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效益指标</w:t>
            </w:r>
          </w:p>
        </w:tc>
        <w:tc>
          <w:tcPr>
            <w:tcW w:w="1068" w:type="dxa"/>
            <w:vAlign w:val="top"/>
          </w:tcPr>
          <w:p>
            <w:pPr>
              <w:spacing w:before="43" w:line="206"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经济效益指标</w:t>
            </w:r>
          </w:p>
        </w:tc>
        <w:tc>
          <w:tcPr>
            <w:tcW w:w="4548" w:type="dxa"/>
            <w:vAlign w:val="top"/>
          </w:tcPr>
          <w:p>
            <w:pPr>
              <w:spacing w:before="33"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农业信贷担保业务规模</w:t>
            </w:r>
          </w:p>
        </w:tc>
        <w:tc>
          <w:tcPr>
            <w:tcW w:w="1548" w:type="dxa"/>
            <w:vAlign w:val="top"/>
          </w:tcPr>
          <w:p>
            <w:pPr>
              <w:spacing w:before="43" w:line="206" w:lineRule="auto"/>
              <w:ind w:left="6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稳健发展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Align w:val="top"/>
          </w:tcPr>
          <w:p>
            <w:pPr>
              <w:spacing w:before="32" w:line="21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社会效益指标</w:t>
            </w:r>
          </w:p>
        </w:tc>
        <w:tc>
          <w:tcPr>
            <w:tcW w:w="4548" w:type="dxa"/>
            <w:vAlign w:val="top"/>
          </w:tcPr>
          <w:p>
            <w:pPr>
              <w:spacing w:before="43" w:line="206"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服务小农户面积和服务规模经营水平</w:t>
            </w:r>
          </w:p>
        </w:tc>
        <w:tc>
          <w:tcPr>
            <w:tcW w:w="1548" w:type="dxa"/>
            <w:vAlign w:val="top"/>
          </w:tcPr>
          <w:p>
            <w:pPr>
              <w:spacing w:before="33" w:line="219" w:lineRule="auto"/>
              <w:ind w:left="79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jc w:val="center"/>
              <w:rPr>
                <w:rFonts w:hint="default" w:ascii="Times New Roman" w:hAnsi="Times New Roman" w:cs="Times New Roman"/>
                <w:sz w:val="21"/>
                <w:highlight w:val="none"/>
              </w:rPr>
            </w:pPr>
          </w:p>
        </w:tc>
        <w:tc>
          <w:tcPr>
            <w:tcW w:w="1068" w:type="dxa"/>
            <w:vAlign w:val="top"/>
          </w:tcPr>
          <w:p>
            <w:pPr>
              <w:spacing w:before="34" w:line="217"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生态效益指标</w:t>
            </w:r>
          </w:p>
        </w:tc>
        <w:tc>
          <w:tcPr>
            <w:tcW w:w="4548" w:type="dxa"/>
            <w:vAlign w:val="top"/>
          </w:tcPr>
          <w:p>
            <w:pPr>
              <w:spacing w:before="43" w:line="205"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推广应用农业绿色高质高效技术模式</w:t>
            </w:r>
            <w:r>
              <w:rPr>
                <w:rFonts w:hint="default" w:ascii="Times New Roman" w:hAnsi="Times New Roman" w:eastAsia="宋体" w:cs="Times New Roman"/>
                <w:spacing w:val="4"/>
                <w:sz w:val="14"/>
                <w:szCs w:val="14"/>
                <w:highlight w:val="none"/>
                <w:lang w:eastAsia="zh-CN"/>
              </w:rPr>
              <w:t>（</w:t>
            </w:r>
            <w:r>
              <w:rPr>
                <w:rFonts w:hint="default" w:ascii="Times New Roman" w:hAnsi="Times New Roman" w:eastAsia="宋体" w:cs="Times New Roman"/>
                <w:spacing w:val="4"/>
                <w:sz w:val="14"/>
                <w:szCs w:val="14"/>
                <w:highlight w:val="none"/>
              </w:rPr>
              <w:t>个</w:t>
            </w:r>
            <w:r>
              <w:rPr>
                <w:rFonts w:hint="default" w:ascii="Times New Roman" w:hAnsi="Times New Roman" w:eastAsia="宋体" w:cs="Times New Roman"/>
                <w:spacing w:val="4"/>
                <w:sz w:val="14"/>
                <w:szCs w:val="14"/>
                <w:highlight w:val="none"/>
                <w:lang w:eastAsia="zh-CN"/>
              </w:rPr>
              <w:t>）</w:t>
            </w:r>
          </w:p>
        </w:tc>
        <w:tc>
          <w:tcPr>
            <w:tcW w:w="1548" w:type="dxa"/>
            <w:vAlign w:val="top"/>
          </w:tcPr>
          <w:p>
            <w:pPr>
              <w:spacing w:before="79" w:line="158" w:lineRule="auto"/>
              <w:ind w:left="86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tcBorders>
            <w:vAlign w:val="top"/>
          </w:tcPr>
          <w:p>
            <w:pPr>
              <w:jc w:val="center"/>
              <w:rPr>
                <w:rFonts w:hint="default" w:ascii="Times New Roman" w:hAnsi="Times New Roman" w:cs="Times New Roman"/>
                <w:sz w:val="21"/>
                <w:highlight w:val="none"/>
              </w:rPr>
            </w:pPr>
          </w:p>
        </w:tc>
        <w:tc>
          <w:tcPr>
            <w:tcW w:w="1068" w:type="dxa"/>
            <w:vAlign w:val="top"/>
          </w:tcPr>
          <w:p>
            <w:pPr>
              <w:spacing w:before="34" w:line="205"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可持续影响指标</w:t>
            </w:r>
          </w:p>
        </w:tc>
        <w:tc>
          <w:tcPr>
            <w:tcW w:w="4548" w:type="dxa"/>
            <w:vAlign w:val="top"/>
          </w:tcPr>
          <w:p>
            <w:pPr>
              <w:spacing w:before="34" w:line="205"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高效协同重大技术推广机制模式</w:t>
            </w:r>
          </w:p>
        </w:tc>
        <w:tc>
          <w:tcPr>
            <w:tcW w:w="1548" w:type="dxa"/>
            <w:vAlign w:val="top"/>
          </w:tcPr>
          <w:p>
            <w:pPr>
              <w:spacing w:line="190" w:lineRule="exact"/>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restart"/>
            <w:tcBorders>
              <w:bottom w:val="nil"/>
            </w:tcBorders>
            <w:vAlign w:val="top"/>
          </w:tcPr>
          <w:p>
            <w:pPr>
              <w:spacing w:before="273" w:line="223" w:lineRule="auto"/>
              <w:ind w:left="250" w:right="54" w:hanging="210"/>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2"/>
                <w:sz w:val="14"/>
                <w:szCs w:val="14"/>
                <w:highlight w:val="none"/>
              </w:rPr>
              <w:t>满意度指</w:t>
            </w:r>
            <w:r>
              <w:rPr>
                <w:rFonts w:hint="default" w:ascii="Times New Roman" w:hAnsi="Times New Roman" w:eastAsia="宋体" w:cs="Times New Roman"/>
                <w:sz w:val="14"/>
                <w:szCs w:val="14"/>
                <w:highlight w:val="none"/>
              </w:rPr>
              <w:t>标</w:t>
            </w:r>
          </w:p>
        </w:tc>
        <w:tc>
          <w:tcPr>
            <w:tcW w:w="1068" w:type="dxa"/>
            <w:vMerge w:val="restart"/>
            <w:tcBorders>
              <w:bottom w:val="nil"/>
            </w:tcBorders>
            <w:vAlign w:val="top"/>
          </w:tcPr>
          <w:p>
            <w:pPr>
              <w:spacing w:before="45" w:line="219" w:lineRule="auto"/>
              <w:jc w:val="left"/>
              <w:rPr>
                <w:rFonts w:hint="default" w:ascii="Times New Roman" w:hAnsi="Times New Roman" w:eastAsia="宋体" w:cs="Times New Roman"/>
                <w:spacing w:val="-1"/>
                <w:sz w:val="14"/>
                <w:szCs w:val="14"/>
                <w:highlight w:val="none"/>
              </w:rPr>
            </w:pPr>
          </w:p>
          <w:p>
            <w:pPr>
              <w:spacing w:before="45" w:line="219" w:lineRule="auto"/>
              <w:jc w:val="center"/>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服务对象满意度指标</w:t>
            </w:r>
          </w:p>
        </w:tc>
        <w:tc>
          <w:tcPr>
            <w:tcW w:w="4548" w:type="dxa"/>
            <w:vAlign w:val="top"/>
          </w:tcPr>
          <w:p>
            <w:pPr>
              <w:spacing w:before="44" w:line="217"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高素质农民培育满意度</w:t>
            </w:r>
          </w:p>
        </w:tc>
        <w:tc>
          <w:tcPr>
            <w:tcW w:w="1548" w:type="dxa"/>
            <w:vAlign w:val="top"/>
          </w:tcPr>
          <w:p>
            <w:pPr>
              <w:spacing w:before="58" w:line="199"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rPr>
                <w:rFonts w:hint="default" w:ascii="Times New Roman" w:hAnsi="Times New Roman" w:cs="Times New Roman"/>
                <w:sz w:val="21"/>
                <w:highlight w:val="none"/>
              </w:rPr>
            </w:pPr>
          </w:p>
        </w:tc>
        <w:tc>
          <w:tcPr>
            <w:tcW w:w="1068" w:type="dxa"/>
            <w:vMerge w:val="continue"/>
            <w:tcBorders>
              <w:top w:val="nil"/>
              <w:bottom w:val="nil"/>
            </w:tcBorders>
            <w:vAlign w:val="top"/>
          </w:tcPr>
          <w:p>
            <w:pPr>
              <w:rPr>
                <w:rFonts w:hint="default" w:ascii="Times New Roman" w:hAnsi="Times New Roman" w:cs="Times New Roman"/>
                <w:sz w:val="21"/>
                <w:highlight w:val="none"/>
              </w:rPr>
            </w:pPr>
          </w:p>
        </w:tc>
        <w:tc>
          <w:tcPr>
            <w:tcW w:w="4548" w:type="dxa"/>
            <w:vAlign w:val="top"/>
          </w:tcPr>
          <w:p>
            <w:pPr>
              <w:spacing w:before="15" w:line="219"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新型经营主体对农业生产发展资金项目实施的满意度</w:t>
            </w:r>
          </w:p>
        </w:tc>
        <w:tc>
          <w:tcPr>
            <w:tcW w:w="1548" w:type="dxa"/>
            <w:vAlign w:val="top"/>
          </w:tcPr>
          <w:p>
            <w:pPr>
              <w:spacing w:before="48" w:line="186"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38" w:type="dxa"/>
            <w:vMerge w:val="continue"/>
            <w:tcBorders>
              <w:top w:val="nil"/>
              <w:bottom w:val="nil"/>
            </w:tcBorders>
            <w:vAlign w:val="top"/>
          </w:tcPr>
          <w:p>
            <w:pPr>
              <w:rPr>
                <w:rFonts w:hint="default" w:ascii="Times New Roman" w:hAnsi="Times New Roman" w:cs="Times New Roman"/>
                <w:sz w:val="21"/>
                <w:highlight w:val="none"/>
              </w:rPr>
            </w:pPr>
          </w:p>
        </w:tc>
        <w:tc>
          <w:tcPr>
            <w:tcW w:w="804" w:type="dxa"/>
            <w:vMerge w:val="continue"/>
            <w:tcBorders>
              <w:top w:val="nil"/>
              <w:bottom w:val="nil"/>
            </w:tcBorders>
            <w:vAlign w:val="top"/>
          </w:tcPr>
          <w:p>
            <w:pPr>
              <w:rPr>
                <w:rFonts w:hint="default" w:ascii="Times New Roman" w:hAnsi="Times New Roman" w:cs="Times New Roman"/>
                <w:sz w:val="21"/>
                <w:highlight w:val="none"/>
              </w:rPr>
            </w:pPr>
          </w:p>
        </w:tc>
        <w:tc>
          <w:tcPr>
            <w:tcW w:w="1068" w:type="dxa"/>
            <w:vMerge w:val="continue"/>
            <w:tcBorders>
              <w:top w:val="nil"/>
              <w:bottom w:val="nil"/>
            </w:tcBorders>
            <w:vAlign w:val="top"/>
          </w:tcPr>
          <w:p>
            <w:pPr>
              <w:rPr>
                <w:rFonts w:hint="default" w:ascii="Times New Roman" w:hAnsi="Times New Roman" w:cs="Times New Roman"/>
                <w:sz w:val="21"/>
                <w:highlight w:val="none"/>
              </w:rPr>
            </w:pPr>
          </w:p>
        </w:tc>
        <w:tc>
          <w:tcPr>
            <w:tcW w:w="4548" w:type="dxa"/>
            <w:vAlign w:val="top"/>
          </w:tcPr>
          <w:p>
            <w:pPr>
              <w:spacing w:before="45" w:line="204"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新型经营主体和小农户对农业生产社会化服务的满意度</w:t>
            </w:r>
          </w:p>
        </w:tc>
        <w:tc>
          <w:tcPr>
            <w:tcW w:w="1548" w:type="dxa"/>
            <w:vAlign w:val="top"/>
          </w:tcPr>
          <w:p>
            <w:pPr>
              <w:spacing w:before="89" w:line="186" w:lineRule="auto"/>
              <w:ind w:left="757"/>
              <w:rPr>
                <w:rFonts w:hint="default" w:ascii="Times New Roman" w:hAnsi="Times New Roman" w:eastAsia="宋体" w:cs="Times New Roman"/>
                <w:sz w:val="11"/>
                <w:szCs w:val="11"/>
                <w:highlight w:val="none"/>
              </w:rPr>
            </w:pPr>
            <w:r>
              <w:rPr>
                <w:rFonts w:hint="default" w:ascii="Times New Roman" w:hAnsi="Times New Roman" w:eastAsia="宋体" w:cs="Times New Roman"/>
                <w:spacing w:val="13"/>
                <w:sz w:val="14"/>
                <w:szCs w:val="14"/>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638" w:type="dxa"/>
            <w:vMerge w:val="continue"/>
            <w:tcBorders>
              <w:top w:val="nil"/>
            </w:tcBorders>
            <w:vAlign w:val="top"/>
          </w:tcPr>
          <w:p>
            <w:pPr>
              <w:rPr>
                <w:rFonts w:hint="default" w:ascii="Times New Roman" w:hAnsi="Times New Roman" w:cs="Times New Roman"/>
                <w:sz w:val="21"/>
                <w:highlight w:val="none"/>
              </w:rPr>
            </w:pPr>
          </w:p>
        </w:tc>
        <w:tc>
          <w:tcPr>
            <w:tcW w:w="804" w:type="dxa"/>
            <w:vMerge w:val="continue"/>
            <w:tcBorders>
              <w:top w:val="nil"/>
            </w:tcBorders>
            <w:vAlign w:val="top"/>
          </w:tcPr>
          <w:p>
            <w:pPr>
              <w:rPr>
                <w:rFonts w:hint="default" w:ascii="Times New Roman" w:hAnsi="Times New Roman" w:cs="Times New Roman"/>
                <w:sz w:val="21"/>
                <w:highlight w:val="none"/>
              </w:rPr>
            </w:pPr>
          </w:p>
        </w:tc>
        <w:tc>
          <w:tcPr>
            <w:tcW w:w="1068" w:type="dxa"/>
            <w:vMerge w:val="continue"/>
            <w:tcBorders>
              <w:top w:val="nil"/>
            </w:tcBorders>
            <w:vAlign w:val="top"/>
          </w:tcPr>
          <w:p>
            <w:pPr>
              <w:rPr>
                <w:rFonts w:hint="default" w:ascii="Times New Roman" w:hAnsi="Times New Roman" w:cs="Times New Roman"/>
                <w:sz w:val="21"/>
                <w:highlight w:val="none"/>
              </w:rPr>
            </w:pPr>
          </w:p>
        </w:tc>
        <w:tc>
          <w:tcPr>
            <w:tcW w:w="4548" w:type="dxa"/>
            <w:vAlign w:val="top"/>
          </w:tcPr>
          <w:p>
            <w:pPr>
              <w:spacing w:before="34" w:line="211" w:lineRule="auto"/>
              <w:ind w:left="12"/>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1"/>
                <w:sz w:val="14"/>
                <w:szCs w:val="14"/>
                <w:highlight w:val="none"/>
              </w:rPr>
              <w:t>种粮主体对一次性补贴的满意度</w:t>
            </w:r>
          </w:p>
        </w:tc>
        <w:tc>
          <w:tcPr>
            <w:tcW w:w="1548" w:type="dxa"/>
            <w:vAlign w:val="top"/>
          </w:tcPr>
          <w:p>
            <w:pPr>
              <w:spacing w:before="49" w:line="192" w:lineRule="auto"/>
              <w:ind w:left="757"/>
              <w:rPr>
                <w:rFonts w:hint="default" w:ascii="Times New Roman" w:hAnsi="Times New Roman" w:eastAsia="宋体" w:cs="Times New Roman"/>
                <w:sz w:val="14"/>
                <w:szCs w:val="14"/>
                <w:highlight w:val="none"/>
              </w:rPr>
            </w:pPr>
            <w:r>
              <w:rPr>
                <w:rFonts w:hint="default" w:ascii="Times New Roman" w:hAnsi="Times New Roman" w:eastAsia="宋体" w:cs="Times New Roman"/>
                <w:spacing w:val="-4"/>
                <w:sz w:val="14"/>
                <w:szCs w:val="14"/>
                <w:highlight w:val="none"/>
              </w:rPr>
              <w:t>≥85%</w:t>
            </w:r>
          </w:p>
        </w:tc>
      </w:tr>
    </w:tbl>
    <w:p>
      <w:pPr>
        <w:pStyle w:val="5"/>
        <w:rPr>
          <w:rFonts w:hint="default" w:ascii="Times New Roman" w:hAnsi="Times New Roman" w:cs="Times New Roman"/>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（二）自治区分解下达预算和绩效目标情况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1.自治区分解下达预算情况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关于下达2022年中央农业生产发展资金预算的通知》（新财农〔2022〕27号文）《关于下达2022年中央农业生产发展资金预算的通知》（新财农〔2022〕36号文）将32986.4万元统筹整合支持脱贫攻坚。将剩余579098.6万元分解下达各地州，资金分解情况详见下表：</w:t>
      </w:r>
    </w:p>
    <w:p>
      <w:pPr>
        <w:spacing w:before="22" w:line="219" w:lineRule="auto"/>
        <w:jc w:val="center"/>
        <w:rPr>
          <w:rFonts w:hint="default" w:ascii="Times New Roman" w:hAnsi="Times New Roman" w:eastAsia="宋体" w:cs="Times New Roman"/>
          <w:b/>
          <w:bCs/>
          <w:spacing w:val="-11"/>
          <w:sz w:val="28"/>
          <w:szCs w:val="28"/>
          <w:highlight w:val="none"/>
          <w:lang w:val="en-US" w:eastAsia="zh-CN"/>
        </w:rPr>
      </w:pPr>
      <w:r>
        <w:rPr>
          <w:rFonts w:hint="default" w:ascii="Times New Roman" w:hAnsi="Times New Roman" w:eastAsia="宋体" w:cs="Times New Roman"/>
          <w:b/>
          <w:bCs/>
          <w:spacing w:val="-11"/>
          <w:sz w:val="28"/>
          <w:szCs w:val="28"/>
          <w:highlight w:val="none"/>
          <w:lang w:val="en-US" w:eastAsia="zh-CN"/>
        </w:rPr>
        <w:t>2022年</w:t>
      </w:r>
      <w:r>
        <w:rPr>
          <w:rFonts w:hint="default" w:ascii="Times New Roman" w:hAnsi="Times New Roman" w:eastAsia="宋体" w:cs="Times New Roman"/>
          <w:b/>
          <w:bCs/>
          <w:spacing w:val="-11"/>
          <w:sz w:val="28"/>
          <w:szCs w:val="28"/>
          <w:highlight w:val="none"/>
        </w:rPr>
        <w:t>农业生产发展资金</w:t>
      </w:r>
      <w:r>
        <w:rPr>
          <w:rFonts w:hint="default" w:ascii="Times New Roman" w:hAnsi="Times New Roman" w:eastAsia="宋体" w:cs="Times New Roman"/>
          <w:b/>
          <w:bCs/>
          <w:spacing w:val="-11"/>
          <w:sz w:val="28"/>
          <w:szCs w:val="28"/>
          <w:highlight w:val="none"/>
          <w:lang w:val="en-US" w:eastAsia="zh-CN"/>
        </w:rPr>
        <w:t>分配表</w:t>
      </w:r>
    </w:p>
    <w:tbl>
      <w:tblPr>
        <w:tblStyle w:val="13"/>
        <w:tblW w:w="8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551"/>
        <w:gridCol w:w="1104"/>
        <w:gridCol w:w="1632"/>
        <w:gridCol w:w="1356"/>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序号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地州/单位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小计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农业生产发展资金</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种粮一次性补贴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统筹整合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伊犁州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61101.9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54863.2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4242.2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塔城地区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42289.75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39548.75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2147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阿勒泰地区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19604.7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17114.3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899.4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昌吉州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72501.95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69594.95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2907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乌鲁木齐市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7226.4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6974.5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251.9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克拉玛依市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739.82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18.32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博州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16500.85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16364.85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吐鲁番市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2086.5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2086.5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哈密市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7809.7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5718.8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899.4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巴州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42312.35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40736.45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1575.9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阿克苏地区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113300.4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102754.3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8354.1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克州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16777.3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12639.7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1124.7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3012.9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喀什地区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122479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98078.2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10068.8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和田地区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50172.38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37592.6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4503.28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8076.5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新疆农业信贷融资担保有限责任公司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18451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18451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新疆畜牧科学院畜牧所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新疆畜牧科学院畜牧业质量标准研究所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4"/>
                <w:szCs w:val="14"/>
                <w:highlight w:val="none"/>
                <w:u w:val="none"/>
              </w:rPr>
            </w:pPr>
            <w:r>
              <w:rPr>
                <w:rFonts w:hint="default" w:ascii="Times New Roman" w:hAnsi="Times New Roman" w:eastAsia="宋体" w:cs="Times New Roman"/>
                <w:i w:val="0"/>
                <w:iCs w:val="0"/>
                <w:snapToGrid w:val="0"/>
                <w:color w:val="000000"/>
                <w:kern w:val="0"/>
                <w:sz w:val="14"/>
                <w:szCs w:val="14"/>
                <w:highlight w:val="none"/>
                <w:u w:val="none"/>
                <w:lang w:val="en-US" w:eastAsia="zh-CN" w:bidi="ar"/>
              </w:rPr>
              <w:t>自治区动物疾病预防控制中心 （自治区动物卫生监督所）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4"/>
                <w:szCs w:val="14"/>
                <w:highlight w:val="none"/>
                <w:u w:val="none"/>
              </w:rPr>
            </w:pPr>
            <w:r>
              <w:rPr>
                <w:rFonts w:hint="default" w:ascii="Times New Roman" w:hAnsi="Times New Roman" w:eastAsia="宋体" w:cs="Times New Roman"/>
                <w:i w:val="0"/>
                <w:iCs w:val="0"/>
                <w:snapToGrid w:val="0"/>
                <w:color w:val="000000"/>
                <w:kern w:val="0"/>
                <w:sz w:val="14"/>
                <w:szCs w:val="14"/>
                <w:highlight w:val="none"/>
                <w:u w:val="none"/>
                <w:lang w:val="en-US" w:eastAsia="zh-CN"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自治区畜牧总站</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自治区农业农村机械化发展中心</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9550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9550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自治区农业机械化信息中心</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2350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2350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自治区农牧业机械产品质量监督管理站</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3100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新疆农业大学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1278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1278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西北农林科技大学（农业农村厅办公室）</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华中农业大学（农业农村厅办公室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新疆大学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新疆医科大学</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石河子大学（农业农村厅办公室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新疆农业职业技术学院</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858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858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新疆农业广播电视学校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合计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612085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541970.6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37128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32986.4</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2.自治区分解下达绩效目标情况如下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根据财政部下达的资金文件确定的绩效目标，结合</w:t>
      </w:r>
      <w:r>
        <w:rPr>
          <w:rFonts w:hint="eastAsia" w:ascii="Times New Roman" w:hAnsi="Times New Roman" w:eastAsia="仿宋_GB2312" w:cs="Times New Roman"/>
          <w:color w:val="auto"/>
          <w:sz w:val="32"/>
          <w:szCs w:val="32"/>
          <w:highlight w:val="none"/>
          <w:lang w:eastAsia="zh-CN"/>
        </w:rPr>
        <w:t>脱贫县</w:t>
      </w:r>
      <w:r>
        <w:rPr>
          <w:rFonts w:hint="default" w:ascii="Times New Roman" w:hAnsi="Times New Roman" w:eastAsia="仿宋_GB2312" w:cs="Times New Roman"/>
          <w:color w:val="auto"/>
          <w:sz w:val="32"/>
          <w:szCs w:val="32"/>
          <w:highlight w:val="none"/>
        </w:rPr>
        <w:t>涉农资金整合情况，自治区对地州资金的分配主要根据任务的特点进行</w:t>
      </w:r>
      <w:r>
        <w:rPr>
          <w:rFonts w:hint="eastAsia" w:ascii="Times New Roman" w:hAnsi="Times New Roman" w:eastAsia="仿宋_GB2312" w:cs="Times New Roman"/>
          <w:color w:val="auto"/>
          <w:sz w:val="32"/>
          <w:szCs w:val="32"/>
          <w:highlight w:val="none"/>
          <w:lang w:eastAsia="zh-CN"/>
        </w:rPr>
        <w:t>合理的安排</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根据《关于下达2022年中央农业生产发展资金预算的通知》（新财农〔2022〕36号文）《关于下达2022年中央实际种粮农民一次性补贴资金预算的通知》（新财农〔2022〕17号文）《关于再次下达2022年中央实际种粮农民一次性补贴资金预算的通知》（新财农〔2022〕41号文）《关于再次下达2022年中央实际种粮农民一次性补贴资金预算的通知》（新财农〔2022〕68号文）</w:t>
      </w:r>
      <w:r>
        <w:rPr>
          <w:rFonts w:hint="default" w:ascii="Times New Roman" w:hAnsi="Times New Roman" w:eastAsia="仿宋_GB2312" w:cs="Times New Roman"/>
          <w:color w:val="auto"/>
          <w:sz w:val="32"/>
          <w:szCs w:val="32"/>
          <w:highlight w:val="none"/>
        </w:rPr>
        <w:t>，绩效目标详见下表：</w:t>
      </w:r>
    </w:p>
    <w:p>
      <w:pPr>
        <w:keepNext w:val="0"/>
        <w:keepLines w:val="0"/>
        <w:pageBreakBefore w:val="0"/>
        <w:wordWrap/>
        <w:overflowPunct/>
        <w:topLinePunct w:val="0"/>
        <w:bidi w:val="0"/>
        <w:spacing w:line="560" w:lineRule="exact"/>
        <w:ind w:firstLine="640" w:firstLineChars="200"/>
        <w:rPr>
          <w:rFonts w:hint="default" w:ascii="Times New Roman" w:hAnsi="Times New Roman" w:cs="Times New Roman"/>
          <w:sz w:val="32"/>
          <w:szCs w:val="32"/>
          <w:highlight w:val="none"/>
        </w:rPr>
      </w:pPr>
    </w:p>
    <w:p>
      <w:pPr>
        <w:keepNext w:val="0"/>
        <w:keepLines w:val="0"/>
        <w:pageBreakBefore w:val="0"/>
        <w:wordWrap/>
        <w:overflowPunct/>
        <w:topLinePunct w:val="0"/>
        <w:bidi w:val="0"/>
        <w:spacing w:line="560" w:lineRule="exact"/>
        <w:ind w:firstLine="640" w:firstLineChars="200"/>
        <w:rPr>
          <w:rFonts w:hint="default" w:ascii="Times New Roman" w:hAnsi="Times New Roman" w:cs="Times New Roman"/>
          <w:sz w:val="32"/>
          <w:szCs w:val="32"/>
          <w:highlight w:val="none"/>
        </w:rPr>
        <w:sectPr>
          <w:pgSz w:w="11906" w:h="16838"/>
          <w:pgMar w:top="1440" w:right="1800" w:bottom="1440" w:left="1800" w:header="851" w:footer="992" w:gutter="0"/>
          <w:pgNumType w:fmt="decimal"/>
          <w:cols w:space="425" w:num="1"/>
          <w:docGrid w:type="lines" w:linePitch="312" w:charSpace="0"/>
        </w:sectPr>
      </w:pPr>
    </w:p>
    <w:p>
      <w:pPr>
        <w:spacing w:before="74" w:line="219" w:lineRule="auto"/>
        <w:ind w:left="3568"/>
        <w:rPr>
          <w:rFonts w:hint="default" w:ascii="Times New Roman" w:hAnsi="Times New Roman" w:eastAsia="宋体" w:cs="Times New Roman"/>
          <w:sz w:val="28"/>
          <w:szCs w:val="28"/>
          <w:highlight w:val="none"/>
        </w:rPr>
      </w:pPr>
      <w:r>
        <w:rPr>
          <w:rFonts w:hint="default" w:ascii="Times New Roman" w:hAnsi="Times New Roman" w:eastAsia="宋体" w:cs="Times New Roman"/>
          <w:b/>
          <w:bCs/>
          <w:spacing w:val="-17"/>
          <w:sz w:val="28"/>
          <w:szCs w:val="28"/>
          <w:highlight w:val="none"/>
        </w:rPr>
        <w:t>再次下达2022年中央实际种粮农民一次性补贴资金预算区域绩效目标表</w:t>
      </w:r>
    </w:p>
    <w:p>
      <w:pPr>
        <w:spacing w:line="78" w:lineRule="exact"/>
        <w:rPr>
          <w:rFonts w:hint="default" w:ascii="Times New Roman" w:hAnsi="Times New Roman" w:cs="Times New Roman"/>
          <w:highlight w:val="none"/>
        </w:rPr>
      </w:pPr>
    </w:p>
    <w:tbl>
      <w:tblPr>
        <w:tblStyle w:val="16"/>
        <w:tblW w:w="151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930"/>
        <w:gridCol w:w="739"/>
        <w:gridCol w:w="1709"/>
        <w:gridCol w:w="740"/>
        <w:gridCol w:w="720"/>
        <w:gridCol w:w="739"/>
        <w:gridCol w:w="949"/>
        <w:gridCol w:w="949"/>
        <w:gridCol w:w="730"/>
        <w:gridCol w:w="730"/>
        <w:gridCol w:w="729"/>
        <w:gridCol w:w="730"/>
        <w:gridCol w:w="739"/>
        <w:gridCol w:w="859"/>
        <w:gridCol w:w="740"/>
        <w:gridCol w:w="744"/>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814" w:type="dxa"/>
            <w:gridSpan w:val="2"/>
            <w:vAlign w:val="top"/>
          </w:tcPr>
          <w:p>
            <w:pPr>
              <w:spacing w:before="72" w:line="221" w:lineRule="auto"/>
              <w:ind w:left="57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资金名称</w:t>
            </w:r>
          </w:p>
        </w:tc>
        <w:tc>
          <w:tcPr>
            <w:tcW w:w="2448" w:type="dxa"/>
            <w:gridSpan w:val="2"/>
            <w:vAlign w:val="top"/>
          </w:tcPr>
          <w:p>
            <w:pPr>
              <w:spacing w:before="70" w:line="219" w:lineRule="auto"/>
              <w:ind w:left="170"/>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中央实际种粮农民一次性补贴</w:t>
            </w:r>
          </w:p>
        </w:tc>
        <w:tc>
          <w:tcPr>
            <w:tcW w:w="1460" w:type="dxa"/>
            <w:gridSpan w:val="2"/>
            <w:vAlign w:val="top"/>
          </w:tcPr>
          <w:p>
            <w:pPr>
              <w:spacing w:before="72" w:line="220" w:lineRule="auto"/>
              <w:ind w:left="1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全区总绩效目标</w:t>
            </w:r>
          </w:p>
        </w:tc>
        <w:tc>
          <w:tcPr>
            <w:tcW w:w="9442" w:type="dxa"/>
            <w:gridSpan w:val="12"/>
            <w:vAlign w:val="top"/>
          </w:tcPr>
          <w:p>
            <w:pPr>
              <w:spacing w:before="72" w:line="220" w:lineRule="auto"/>
              <w:ind w:left="411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分区域绩效目标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814" w:type="dxa"/>
            <w:gridSpan w:val="2"/>
            <w:vAlign w:val="top"/>
          </w:tcPr>
          <w:p>
            <w:pPr>
              <w:spacing w:before="66" w:line="219" w:lineRule="auto"/>
              <w:ind w:left="41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中央主管部门</w:t>
            </w:r>
          </w:p>
        </w:tc>
        <w:tc>
          <w:tcPr>
            <w:tcW w:w="2448" w:type="dxa"/>
            <w:gridSpan w:val="2"/>
            <w:vAlign w:val="top"/>
          </w:tcPr>
          <w:p>
            <w:pPr>
              <w:spacing w:before="55" w:line="219" w:lineRule="auto"/>
              <w:ind w:left="49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财政部、农业农村部</w:t>
            </w:r>
          </w:p>
        </w:tc>
        <w:tc>
          <w:tcPr>
            <w:tcW w:w="740" w:type="dxa"/>
            <w:vAlign w:val="top"/>
          </w:tcPr>
          <w:p>
            <w:pPr>
              <w:spacing w:before="67" w:line="221" w:lineRule="auto"/>
              <w:ind w:left="20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合计</w:t>
            </w:r>
          </w:p>
        </w:tc>
        <w:tc>
          <w:tcPr>
            <w:tcW w:w="720" w:type="dxa"/>
            <w:vAlign w:val="top"/>
          </w:tcPr>
          <w:p>
            <w:pPr>
              <w:spacing w:before="65" w:line="219" w:lineRule="auto"/>
              <w:ind w:left="11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伊犁州</w:t>
            </w:r>
          </w:p>
        </w:tc>
        <w:tc>
          <w:tcPr>
            <w:tcW w:w="739" w:type="dxa"/>
            <w:vAlign w:val="top"/>
          </w:tcPr>
          <w:p>
            <w:pPr>
              <w:spacing w:before="56" w:line="219" w:lineRule="auto"/>
              <w:ind w:left="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塔城地区</w:t>
            </w:r>
          </w:p>
        </w:tc>
        <w:tc>
          <w:tcPr>
            <w:tcW w:w="949" w:type="dxa"/>
            <w:vAlign w:val="top"/>
          </w:tcPr>
          <w:p>
            <w:pPr>
              <w:spacing w:before="65" w:line="219" w:lineRule="auto"/>
              <w:ind w:left="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lang w:eastAsia="zh-CN"/>
              </w:rPr>
              <w:t>阿勒泰地区</w:t>
            </w:r>
          </w:p>
        </w:tc>
        <w:tc>
          <w:tcPr>
            <w:tcW w:w="949" w:type="dxa"/>
            <w:vAlign w:val="top"/>
          </w:tcPr>
          <w:p>
            <w:pPr>
              <w:spacing w:before="55" w:line="219" w:lineRule="auto"/>
              <w:ind w:left="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克拉玛依市</w:t>
            </w:r>
          </w:p>
        </w:tc>
        <w:tc>
          <w:tcPr>
            <w:tcW w:w="730" w:type="dxa"/>
            <w:vAlign w:val="top"/>
          </w:tcPr>
          <w:p>
            <w:pPr>
              <w:spacing w:before="55" w:line="219" w:lineRule="auto"/>
              <w:ind w:left="19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9"/>
                <w:sz w:val="15"/>
                <w:szCs w:val="15"/>
                <w:highlight w:val="none"/>
              </w:rPr>
              <w:t>博州</w:t>
            </w:r>
          </w:p>
        </w:tc>
        <w:tc>
          <w:tcPr>
            <w:tcW w:w="730" w:type="dxa"/>
            <w:vAlign w:val="top"/>
          </w:tcPr>
          <w:p>
            <w:pPr>
              <w:spacing w:before="55" w:line="219" w:lineRule="auto"/>
              <w:ind w:left="11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昌吉州</w:t>
            </w:r>
          </w:p>
        </w:tc>
        <w:tc>
          <w:tcPr>
            <w:tcW w:w="729" w:type="dxa"/>
            <w:vAlign w:val="top"/>
          </w:tcPr>
          <w:p>
            <w:pPr>
              <w:spacing w:before="56"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乌鲁木齐</w:t>
            </w:r>
          </w:p>
        </w:tc>
        <w:tc>
          <w:tcPr>
            <w:tcW w:w="730" w:type="dxa"/>
            <w:vAlign w:val="top"/>
          </w:tcPr>
          <w:p>
            <w:pPr>
              <w:spacing w:before="56" w:line="219" w:lineRule="auto"/>
              <w:ind w:left="1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哈密市</w:t>
            </w:r>
          </w:p>
        </w:tc>
        <w:tc>
          <w:tcPr>
            <w:tcW w:w="739" w:type="dxa"/>
            <w:vAlign w:val="top"/>
          </w:tcPr>
          <w:p>
            <w:pPr>
              <w:spacing w:before="55" w:line="219" w:lineRule="auto"/>
              <w:ind w:left="2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2"/>
                <w:sz w:val="15"/>
                <w:szCs w:val="15"/>
                <w:highlight w:val="none"/>
              </w:rPr>
              <w:t>巴州</w:t>
            </w:r>
          </w:p>
        </w:tc>
        <w:tc>
          <w:tcPr>
            <w:tcW w:w="859" w:type="dxa"/>
            <w:vAlign w:val="top"/>
          </w:tcPr>
          <w:p>
            <w:pPr>
              <w:spacing w:before="66" w:line="219" w:lineRule="auto"/>
              <w:ind w:left="2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阿克苏地区</w:t>
            </w:r>
          </w:p>
        </w:tc>
        <w:tc>
          <w:tcPr>
            <w:tcW w:w="740" w:type="dxa"/>
            <w:vAlign w:val="top"/>
          </w:tcPr>
          <w:p>
            <w:pPr>
              <w:spacing w:before="55" w:line="219" w:lineRule="auto"/>
              <w:ind w:left="20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8"/>
                <w:sz w:val="15"/>
                <w:szCs w:val="15"/>
                <w:highlight w:val="none"/>
              </w:rPr>
              <w:t>克州</w:t>
            </w:r>
          </w:p>
        </w:tc>
        <w:tc>
          <w:tcPr>
            <w:tcW w:w="744" w:type="dxa"/>
            <w:vAlign w:val="top"/>
          </w:tcPr>
          <w:p>
            <w:pPr>
              <w:spacing w:before="56"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喀什地区</w:t>
            </w:r>
          </w:p>
        </w:tc>
        <w:tc>
          <w:tcPr>
            <w:tcW w:w="804" w:type="dxa"/>
            <w:vAlign w:val="top"/>
          </w:tcPr>
          <w:p>
            <w:pPr>
              <w:spacing w:before="69" w:line="222"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和田地区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814" w:type="dxa"/>
            <w:gridSpan w:val="2"/>
            <w:vAlign w:val="top"/>
          </w:tcPr>
          <w:p>
            <w:pPr>
              <w:spacing w:before="76" w:line="219" w:lineRule="auto"/>
              <w:ind w:left="41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省级财政部门</w:t>
            </w:r>
          </w:p>
        </w:tc>
        <w:tc>
          <w:tcPr>
            <w:tcW w:w="2448" w:type="dxa"/>
            <w:gridSpan w:val="2"/>
            <w:vAlign w:val="top"/>
          </w:tcPr>
          <w:p>
            <w:pPr>
              <w:spacing w:before="57" w:line="220" w:lineRule="auto"/>
              <w:ind w:left="33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新疆维吾尔自治区财政厅</w:t>
            </w:r>
          </w:p>
        </w:tc>
        <w:tc>
          <w:tcPr>
            <w:tcW w:w="10902" w:type="dxa"/>
            <w:gridSpan w:val="14"/>
            <w:vMerge w:val="restart"/>
            <w:tcBorders>
              <w:bottom w:val="nil"/>
            </w:tcBorders>
            <w:vAlign w:val="top"/>
          </w:tcPr>
          <w:p>
            <w:pPr>
              <w:spacing w:before="205" w:line="219" w:lineRule="auto"/>
              <w:ind w:left="436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各地州市财政局、农业农村局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814" w:type="dxa"/>
            <w:gridSpan w:val="2"/>
            <w:vAlign w:val="top"/>
          </w:tcPr>
          <w:p>
            <w:pPr>
              <w:spacing w:before="76" w:line="219" w:lineRule="auto"/>
              <w:ind w:left="41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省级主管部门</w:t>
            </w:r>
          </w:p>
        </w:tc>
        <w:tc>
          <w:tcPr>
            <w:tcW w:w="2448" w:type="dxa"/>
            <w:gridSpan w:val="2"/>
            <w:vAlign w:val="top"/>
          </w:tcPr>
          <w:p>
            <w:pPr>
              <w:spacing w:before="65" w:line="219" w:lineRule="auto"/>
              <w:ind w:left="1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新疆维吾尔自治区农业农村厅</w:t>
            </w:r>
          </w:p>
        </w:tc>
        <w:tc>
          <w:tcPr>
            <w:tcW w:w="10902" w:type="dxa"/>
            <w:gridSpan w:val="14"/>
            <w:vMerge w:val="continue"/>
            <w:tcBorders>
              <w:top w:val="nil"/>
            </w:tcBorders>
            <w:vAlign w:val="top"/>
          </w:tcPr>
          <w:p>
            <w:pPr>
              <w:rPr>
                <w:rFonts w:hint="default" w:ascii="Times New Roman" w:hAnsi="Times New Roman" w:cs="Times New Roman"/>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84" w:type="dxa"/>
            <w:vMerge w:val="restart"/>
            <w:tcBorders>
              <w:bottom w:val="nil"/>
            </w:tcBorders>
            <w:vAlign w:val="top"/>
          </w:tcPr>
          <w:p>
            <w:pPr>
              <w:spacing w:before="185" w:line="220" w:lineRule="auto"/>
              <w:ind w:right="4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资金情</w:t>
            </w:r>
            <w:r>
              <w:rPr>
                <w:rFonts w:hint="default" w:ascii="Times New Roman" w:hAnsi="Times New Roman" w:eastAsia="宋体" w:cs="Times New Roman"/>
                <w:spacing w:val="-3"/>
                <w:sz w:val="15"/>
                <w:szCs w:val="15"/>
                <w:highlight w:val="none"/>
              </w:rPr>
              <w:t>况</w:t>
            </w:r>
            <w:r>
              <w:rPr>
                <w:rFonts w:hint="default" w:ascii="Times New Roman" w:hAnsi="Times New Roman" w:eastAsia="宋体" w:cs="Times New Roman"/>
                <w:spacing w:val="-3"/>
                <w:sz w:val="15"/>
                <w:szCs w:val="15"/>
                <w:highlight w:val="none"/>
                <w:lang w:eastAsia="zh-CN"/>
              </w:rPr>
              <w:t>（</w:t>
            </w:r>
            <w:r>
              <w:rPr>
                <w:rFonts w:hint="default" w:ascii="Times New Roman" w:hAnsi="Times New Roman" w:eastAsia="宋体" w:cs="Times New Roman"/>
                <w:spacing w:val="-3"/>
                <w:sz w:val="15"/>
                <w:szCs w:val="15"/>
                <w:highlight w:val="none"/>
              </w:rPr>
              <w:t>万</w:t>
            </w:r>
            <w:r>
              <w:rPr>
                <w:rFonts w:hint="default" w:ascii="Times New Roman" w:hAnsi="Times New Roman" w:eastAsia="宋体" w:cs="Times New Roman"/>
                <w:spacing w:val="26"/>
                <w:sz w:val="15"/>
                <w:szCs w:val="15"/>
                <w:highlight w:val="none"/>
              </w:rPr>
              <w:t>元</w:t>
            </w:r>
            <w:r>
              <w:rPr>
                <w:rFonts w:hint="default" w:ascii="Times New Roman" w:hAnsi="Times New Roman" w:eastAsia="宋体" w:cs="Times New Roman"/>
                <w:spacing w:val="-31"/>
                <w:sz w:val="15"/>
                <w:szCs w:val="15"/>
                <w:highlight w:val="none"/>
              </w:rPr>
              <w:t xml:space="preserve"> </w:t>
            </w:r>
            <w:r>
              <w:rPr>
                <w:rFonts w:hint="default" w:ascii="Times New Roman" w:hAnsi="Times New Roman" w:eastAsia="宋体" w:cs="Times New Roman"/>
                <w:spacing w:val="-31"/>
                <w:sz w:val="15"/>
                <w:szCs w:val="15"/>
                <w:highlight w:val="none"/>
                <w:lang w:eastAsia="zh-CN"/>
              </w:rPr>
              <w:t>）</w:t>
            </w:r>
          </w:p>
        </w:tc>
        <w:tc>
          <w:tcPr>
            <w:tcW w:w="930" w:type="dxa"/>
            <w:vAlign w:val="top"/>
          </w:tcPr>
          <w:p>
            <w:pPr>
              <w:spacing w:before="66" w:line="219"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5"/>
                <w:sz w:val="15"/>
                <w:szCs w:val="15"/>
                <w:highlight w:val="none"/>
              </w:rPr>
              <w:t>年度金额：</w:t>
            </w:r>
          </w:p>
        </w:tc>
        <w:tc>
          <w:tcPr>
            <w:tcW w:w="2448" w:type="dxa"/>
            <w:gridSpan w:val="2"/>
            <w:vAlign w:val="top"/>
          </w:tcPr>
          <w:p>
            <w:pPr>
              <w:spacing w:before="107" w:line="184" w:lineRule="auto"/>
              <w:ind w:left="101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17260</w:t>
            </w:r>
          </w:p>
        </w:tc>
        <w:tc>
          <w:tcPr>
            <w:tcW w:w="740" w:type="dxa"/>
            <w:vAlign w:val="top"/>
          </w:tcPr>
          <w:p>
            <w:pPr>
              <w:spacing w:before="107" w:line="184" w:lineRule="auto"/>
              <w:ind w:left="16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17260</w:t>
            </w:r>
          </w:p>
        </w:tc>
        <w:tc>
          <w:tcPr>
            <w:tcW w:w="720" w:type="dxa"/>
            <w:vAlign w:val="top"/>
          </w:tcPr>
          <w:p>
            <w:pPr>
              <w:spacing w:before="107" w:line="183" w:lineRule="auto"/>
              <w:ind w:left="11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2394.2</w:t>
            </w:r>
          </w:p>
        </w:tc>
        <w:tc>
          <w:tcPr>
            <w:tcW w:w="739" w:type="dxa"/>
            <w:vAlign w:val="top"/>
          </w:tcPr>
          <w:p>
            <w:pPr>
              <w:spacing w:before="107" w:line="184" w:lineRule="auto"/>
              <w:ind w:left="20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1110</w:t>
            </w:r>
          </w:p>
        </w:tc>
        <w:tc>
          <w:tcPr>
            <w:tcW w:w="949" w:type="dxa"/>
            <w:vAlign w:val="top"/>
          </w:tcPr>
          <w:p>
            <w:pPr>
              <w:spacing w:before="107" w:line="183" w:lineRule="auto"/>
              <w:ind w:left="2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899.4</w:t>
            </w:r>
          </w:p>
        </w:tc>
        <w:tc>
          <w:tcPr>
            <w:tcW w:w="949" w:type="dxa"/>
            <w:vAlign w:val="top"/>
          </w:tcPr>
          <w:p>
            <w:pPr>
              <w:spacing w:before="107" w:line="184" w:lineRule="auto"/>
              <w:ind w:left="2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18.32</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07" w:line="184"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251.9</w:t>
            </w:r>
          </w:p>
        </w:tc>
        <w:tc>
          <w:tcPr>
            <w:tcW w:w="730" w:type="dxa"/>
            <w:vAlign w:val="top"/>
          </w:tcPr>
          <w:p>
            <w:pPr>
              <w:spacing w:before="107" w:line="183"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899.4</w:t>
            </w:r>
          </w:p>
        </w:tc>
        <w:tc>
          <w:tcPr>
            <w:tcW w:w="739" w:type="dxa"/>
            <w:vAlign w:val="top"/>
          </w:tcPr>
          <w:p>
            <w:pPr>
              <w:spacing w:before="107" w:line="184"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1116.9</w:t>
            </w:r>
          </w:p>
        </w:tc>
        <w:tc>
          <w:tcPr>
            <w:tcW w:w="859" w:type="dxa"/>
            <w:vAlign w:val="top"/>
          </w:tcPr>
          <w:p>
            <w:pPr>
              <w:spacing w:before="107" w:line="184"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3679.1</w:t>
            </w:r>
          </w:p>
        </w:tc>
        <w:tc>
          <w:tcPr>
            <w:tcW w:w="740" w:type="dxa"/>
            <w:vAlign w:val="top"/>
          </w:tcPr>
          <w:p>
            <w:pPr>
              <w:spacing w:before="107" w:line="183"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495.7</w:t>
            </w:r>
          </w:p>
        </w:tc>
        <w:tc>
          <w:tcPr>
            <w:tcW w:w="744" w:type="dxa"/>
            <w:vAlign w:val="top"/>
          </w:tcPr>
          <w:p>
            <w:pPr>
              <w:spacing w:before="107" w:line="184" w:lineRule="auto"/>
              <w:ind w:left="13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4101.8</w:t>
            </w:r>
          </w:p>
        </w:tc>
        <w:tc>
          <w:tcPr>
            <w:tcW w:w="804" w:type="dxa"/>
            <w:vAlign w:val="top"/>
          </w:tcPr>
          <w:p>
            <w:pPr>
              <w:spacing w:before="107" w:line="183" w:lineRule="auto"/>
              <w:ind w:left="10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2293.28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Align w:val="top"/>
          </w:tcPr>
          <w:p>
            <w:pPr>
              <w:spacing w:before="67" w:line="220" w:lineRule="auto"/>
              <w:ind w:left="3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其中：中央补助</w:t>
            </w:r>
          </w:p>
        </w:tc>
        <w:tc>
          <w:tcPr>
            <w:tcW w:w="2448" w:type="dxa"/>
            <w:gridSpan w:val="2"/>
            <w:vAlign w:val="top"/>
          </w:tcPr>
          <w:p>
            <w:pPr>
              <w:spacing w:before="107" w:line="184" w:lineRule="auto"/>
              <w:ind w:left="101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17260</w:t>
            </w:r>
          </w:p>
        </w:tc>
        <w:tc>
          <w:tcPr>
            <w:tcW w:w="740" w:type="dxa"/>
            <w:vAlign w:val="top"/>
          </w:tcPr>
          <w:p>
            <w:pPr>
              <w:spacing w:before="107" w:line="184" w:lineRule="auto"/>
              <w:ind w:left="16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17260</w:t>
            </w:r>
          </w:p>
        </w:tc>
        <w:tc>
          <w:tcPr>
            <w:tcW w:w="720" w:type="dxa"/>
            <w:vAlign w:val="top"/>
          </w:tcPr>
          <w:p>
            <w:pPr>
              <w:spacing w:before="107" w:line="183" w:lineRule="auto"/>
              <w:ind w:left="11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2394.2</w:t>
            </w:r>
          </w:p>
        </w:tc>
        <w:tc>
          <w:tcPr>
            <w:tcW w:w="739" w:type="dxa"/>
            <w:vAlign w:val="top"/>
          </w:tcPr>
          <w:p>
            <w:pPr>
              <w:spacing w:before="107" w:line="184" w:lineRule="auto"/>
              <w:ind w:left="20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1110</w:t>
            </w:r>
          </w:p>
        </w:tc>
        <w:tc>
          <w:tcPr>
            <w:tcW w:w="949" w:type="dxa"/>
            <w:vAlign w:val="top"/>
          </w:tcPr>
          <w:p>
            <w:pPr>
              <w:spacing w:before="107" w:line="183" w:lineRule="auto"/>
              <w:ind w:left="2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899.4</w:t>
            </w:r>
          </w:p>
        </w:tc>
        <w:tc>
          <w:tcPr>
            <w:tcW w:w="949" w:type="dxa"/>
            <w:vAlign w:val="top"/>
          </w:tcPr>
          <w:p>
            <w:pPr>
              <w:spacing w:before="107" w:line="184" w:lineRule="auto"/>
              <w:ind w:left="2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18.32</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07" w:line="184"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251.9</w:t>
            </w:r>
          </w:p>
        </w:tc>
        <w:tc>
          <w:tcPr>
            <w:tcW w:w="730" w:type="dxa"/>
            <w:vAlign w:val="top"/>
          </w:tcPr>
          <w:p>
            <w:pPr>
              <w:spacing w:before="107" w:line="183"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899.4</w:t>
            </w:r>
          </w:p>
        </w:tc>
        <w:tc>
          <w:tcPr>
            <w:tcW w:w="739" w:type="dxa"/>
            <w:vAlign w:val="top"/>
          </w:tcPr>
          <w:p>
            <w:pPr>
              <w:spacing w:before="107" w:line="184"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1116.9</w:t>
            </w:r>
          </w:p>
        </w:tc>
        <w:tc>
          <w:tcPr>
            <w:tcW w:w="859" w:type="dxa"/>
            <w:vAlign w:val="top"/>
          </w:tcPr>
          <w:p>
            <w:pPr>
              <w:spacing w:before="107" w:line="184"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3679.1</w:t>
            </w:r>
          </w:p>
        </w:tc>
        <w:tc>
          <w:tcPr>
            <w:tcW w:w="740" w:type="dxa"/>
            <w:vAlign w:val="top"/>
          </w:tcPr>
          <w:p>
            <w:pPr>
              <w:spacing w:before="107" w:line="183"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495.7</w:t>
            </w:r>
          </w:p>
        </w:tc>
        <w:tc>
          <w:tcPr>
            <w:tcW w:w="744" w:type="dxa"/>
            <w:vAlign w:val="top"/>
          </w:tcPr>
          <w:p>
            <w:pPr>
              <w:spacing w:before="107" w:line="184" w:lineRule="auto"/>
              <w:ind w:left="13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4101.8</w:t>
            </w:r>
          </w:p>
        </w:tc>
        <w:tc>
          <w:tcPr>
            <w:tcW w:w="804" w:type="dxa"/>
            <w:vAlign w:val="top"/>
          </w:tcPr>
          <w:p>
            <w:pPr>
              <w:spacing w:before="107" w:line="183" w:lineRule="auto"/>
              <w:ind w:left="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2293.28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84" w:type="dxa"/>
            <w:vMerge w:val="continue"/>
            <w:tcBorders>
              <w:top w:val="nil"/>
            </w:tcBorders>
            <w:vAlign w:val="top"/>
          </w:tcPr>
          <w:p>
            <w:pPr>
              <w:rPr>
                <w:rFonts w:hint="default" w:ascii="Times New Roman" w:hAnsi="Times New Roman" w:cs="Times New Roman"/>
                <w:sz w:val="15"/>
                <w:szCs w:val="15"/>
                <w:highlight w:val="none"/>
              </w:rPr>
            </w:pPr>
          </w:p>
        </w:tc>
        <w:tc>
          <w:tcPr>
            <w:tcW w:w="930" w:type="dxa"/>
            <w:vAlign w:val="top"/>
          </w:tcPr>
          <w:p>
            <w:pPr>
              <w:spacing w:before="77" w:line="221" w:lineRule="auto"/>
              <w:ind w:left="2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地方资金</w:t>
            </w:r>
          </w:p>
        </w:tc>
        <w:tc>
          <w:tcPr>
            <w:tcW w:w="2448" w:type="dxa"/>
            <w:gridSpan w:val="2"/>
            <w:vAlign w:val="top"/>
          </w:tcPr>
          <w:p>
            <w:pPr>
              <w:spacing w:before="107" w:line="183" w:lineRule="auto"/>
              <w:ind w:left="1171"/>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40" w:type="dxa"/>
            <w:vAlign w:val="top"/>
          </w:tcPr>
          <w:p>
            <w:pPr>
              <w:spacing w:before="107"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0" w:type="dxa"/>
            <w:vAlign w:val="top"/>
          </w:tcPr>
          <w:p>
            <w:pPr>
              <w:spacing w:before="107" w:line="183"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9" w:type="dxa"/>
            <w:vAlign w:val="top"/>
          </w:tcPr>
          <w:p>
            <w:pPr>
              <w:spacing w:before="107"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49" w:type="dxa"/>
            <w:vAlign w:val="top"/>
          </w:tcPr>
          <w:p>
            <w:pPr>
              <w:spacing w:before="107" w:line="183" w:lineRule="auto"/>
              <w:ind w:left="42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49" w:type="dxa"/>
            <w:vAlign w:val="top"/>
          </w:tcPr>
          <w:p>
            <w:pPr>
              <w:spacing w:before="107" w:line="183" w:lineRule="auto"/>
              <w:ind w:left="42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07" w:line="183" w:lineRule="auto"/>
              <w:ind w:left="31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07"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9" w:type="dxa"/>
            <w:vAlign w:val="top"/>
          </w:tcPr>
          <w:p>
            <w:pPr>
              <w:spacing w:before="107" w:line="183" w:lineRule="auto"/>
              <w:ind w:left="32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859" w:type="dxa"/>
            <w:vAlign w:val="top"/>
          </w:tcPr>
          <w:p>
            <w:pPr>
              <w:spacing w:before="107" w:line="183" w:lineRule="auto"/>
              <w:ind w:left="38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40" w:type="dxa"/>
            <w:vAlign w:val="top"/>
          </w:tcPr>
          <w:p>
            <w:pPr>
              <w:spacing w:before="107" w:line="183" w:lineRule="auto"/>
              <w:ind w:left="32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44" w:type="dxa"/>
            <w:vAlign w:val="top"/>
          </w:tcPr>
          <w:p>
            <w:pPr>
              <w:spacing w:before="117" w:line="183"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804" w:type="dxa"/>
            <w:vAlign w:val="top"/>
          </w:tcPr>
          <w:p>
            <w:pPr>
              <w:spacing w:before="107" w:line="183" w:lineRule="auto"/>
              <w:ind w:left="530"/>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84" w:type="dxa"/>
            <w:vAlign w:val="top"/>
          </w:tcPr>
          <w:p>
            <w:pPr>
              <w:spacing w:before="26" w:line="219"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年度目标</w:t>
            </w:r>
          </w:p>
        </w:tc>
        <w:tc>
          <w:tcPr>
            <w:tcW w:w="3378" w:type="dxa"/>
            <w:gridSpan w:val="3"/>
            <w:vAlign w:val="top"/>
          </w:tcPr>
          <w:p>
            <w:pPr>
              <w:spacing w:before="65" w:line="219"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保障农民等生产主体种粮收益。</w:t>
            </w:r>
          </w:p>
        </w:tc>
        <w:tc>
          <w:tcPr>
            <w:tcW w:w="740" w:type="dxa"/>
            <w:vAlign w:val="top"/>
          </w:tcPr>
          <w:p>
            <w:pPr>
              <w:spacing w:before="82" w:line="238" w:lineRule="auto"/>
              <w:ind w:left="28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20" w:type="dxa"/>
            <w:vAlign w:val="top"/>
          </w:tcPr>
          <w:p>
            <w:pPr>
              <w:spacing w:before="82" w:line="238" w:lineRule="auto"/>
              <w:ind w:left="43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9" w:type="dxa"/>
            <w:vAlign w:val="top"/>
          </w:tcPr>
          <w:p>
            <w:pPr>
              <w:spacing w:before="82" w:line="238" w:lineRule="auto"/>
              <w:ind w:left="28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49" w:type="dxa"/>
            <w:vAlign w:val="top"/>
          </w:tcPr>
          <w:p>
            <w:pPr>
              <w:spacing w:before="82" w:line="238"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49" w:type="dxa"/>
            <w:vAlign w:val="top"/>
          </w:tcPr>
          <w:p>
            <w:pPr>
              <w:spacing w:before="82" w:line="238" w:lineRule="auto"/>
              <w:ind w:left="38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0" w:type="dxa"/>
            <w:vAlign w:val="top"/>
          </w:tcPr>
          <w:p>
            <w:pPr>
              <w:spacing w:before="82" w:line="238" w:lineRule="auto"/>
              <w:ind w:left="27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0" w:type="dxa"/>
            <w:vAlign w:val="top"/>
          </w:tcPr>
          <w:p>
            <w:pPr>
              <w:spacing w:before="82" w:line="238" w:lineRule="auto"/>
              <w:ind w:left="27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29" w:type="dxa"/>
            <w:vAlign w:val="top"/>
          </w:tcPr>
          <w:p>
            <w:pPr>
              <w:spacing w:before="82" w:line="238" w:lineRule="auto"/>
              <w:ind w:left="27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0" w:type="dxa"/>
            <w:vAlign w:val="top"/>
          </w:tcPr>
          <w:p>
            <w:pPr>
              <w:spacing w:before="82" w:line="238" w:lineRule="auto"/>
              <w:ind w:left="42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39" w:type="dxa"/>
            <w:vAlign w:val="top"/>
          </w:tcPr>
          <w:p>
            <w:pPr>
              <w:spacing w:before="82" w:line="238" w:lineRule="auto"/>
              <w:ind w:left="28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859" w:type="dxa"/>
            <w:vAlign w:val="top"/>
          </w:tcPr>
          <w:p>
            <w:pPr>
              <w:spacing w:before="82" w:line="238" w:lineRule="auto"/>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40" w:type="dxa"/>
            <w:vAlign w:val="top"/>
          </w:tcPr>
          <w:p>
            <w:pPr>
              <w:spacing w:before="82" w:line="238"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744" w:type="dxa"/>
            <w:vAlign w:val="top"/>
          </w:tcPr>
          <w:p>
            <w:pPr>
              <w:spacing w:before="82" w:line="238" w:lineRule="auto"/>
              <w:ind w:left="45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804" w:type="dxa"/>
            <w:vAlign w:val="top"/>
          </w:tcPr>
          <w:p>
            <w:pPr>
              <w:spacing w:before="82" w:line="238" w:lineRule="auto"/>
              <w:ind w:left="450"/>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84" w:type="dxa"/>
            <w:vAlign w:val="top"/>
          </w:tcPr>
          <w:p>
            <w:pPr>
              <w:rPr>
                <w:rFonts w:hint="default" w:ascii="Times New Roman" w:hAnsi="Times New Roman" w:cs="Times New Roman"/>
                <w:sz w:val="15"/>
                <w:szCs w:val="15"/>
                <w:highlight w:val="none"/>
              </w:rPr>
            </w:pPr>
          </w:p>
        </w:tc>
        <w:tc>
          <w:tcPr>
            <w:tcW w:w="930" w:type="dxa"/>
            <w:vAlign w:val="top"/>
          </w:tcPr>
          <w:p>
            <w:pPr>
              <w:spacing w:before="67" w:line="220"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一级指标</w:t>
            </w:r>
          </w:p>
        </w:tc>
        <w:tc>
          <w:tcPr>
            <w:tcW w:w="739" w:type="dxa"/>
            <w:vAlign w:val="top"/>
          </w:tcPr>
          <w:p>
            <w:pPr>
              <w:spacing w:before="67" w:line="220" w:lineRule="auto"/>
              <w:ind w:left="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二级指标</w:t>
            </w:r>
          </w:p>
        </w:tc>
        <w:tc>
          <w:tcPr>
            <w:tcW w:w="1709" w:type="dxa"/>
            <w:vAlign w:val="top"/>
          </w:tcPr>
          <w:p>
            <w:pPr>
              <w:spacing w:before="67" w:line="220" w:lineRule="auto"/>
              <w:ind w:left="52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三级指标</w:t>
            </w:r>
          </w:p>
        </w:tc>
        <w:tc>
          <w:tcPr>
            <w:tcW w:w="740" w:type="dxa"/>
            <w:vAlign w:val="top"/>
          </w:tcPr>
          <w:p>
            <w:pPr>
              <w:rPr>
                <w:rFonts w:hint="default" w:ascii="Times New Roman" w:hAnsi="Times New Roman" w:cs="Times New Roman"/>
                <w:sz w:val="15"/>
                <w:szCs w:val="15"/>
                <w:highlight w:val="none"/>
              </w:rPr>
            </w:pPr>
          </w:p>
        </w:tc>
        <w:tc>
          <w:tcPr>
            <w:tcW w:w="720" w:type="dxa"/>
            <w:vAlign w:val="top"/>
          </w:tcPr>
          <w:p>
            <w:pPr>
              <w:spacing w:before="106" w:line="184" w:lineRule="auto"/>
              <w:ind w:left="26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1</w:t>
            </w:r>
          </w:p>
        </w:tc>
        <w:tc>
          <w:tcPr>
            <w:tcW w:w="739" w:type="dxa"/>
            <w:vAlign w:val="top"/>
          </w:tcPr>
          <w:p>
            <w:pPr>
              <w:spacing w:before="107"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2</w:t>
            </w:r>
          </w:p>
        </w:tc>
        <w:tc>
          <w:tcPr>
            <w:tcW w:w="949" w:type="dxa"/>
            <w:vAlign w:val="top"/>
          </w:tcPr>
          <w:p>
            <w:pPr>
              <w:spacing w:before="107" w:line="183" w:lineRule="auto"/>
              <w:ind w:left="42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3</w:t>
            </w:r>
          </w:p>
        </w:tc>
        <w:tc>
          <w:tcPr>
            <w:tcW w:w="949" w:type="dxa"/>
            <w:vAlign w:val="top"/>
          </w:tcPr>
          <w:p>
            <w:pPr>
              <w:spacing w:before="107" w:line="183" w:lineRule="auto"/>
              <w:ind w:left="42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4</w:t>
            </w:r>
          </w:p>
        </w:tc>
        <w:tc>
          <w:tcPr>
            <w:tcW w:w="730" w:type="dxa"/>
            <w:vAlign w:val="top"/>
          </w:tcPr>
          <w:p>
            <w:pPr>
              <w:spacing w:before="108" w:line="182"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5</w:t>
            </w:r>
          </w:p>
        </w:tc>
        <w:tc>
          <w:tcPr>
            <w:tcW w:w="730" w:type="dxa"/>
            <w:vAlign w:val="top"/>
          </w:tcPr>
          <w:p>
            <w:pPr>
              <w:spacing w:before="10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6</w:t>
            </w:r>
          </w:p>
        </w:tc>
        <w:tc>
          <w:tcPr>
            <w:tcW w:w="729" w:type="dxa"/>
            <w:vAlign w:val="top"/>
          </w:tcPr>
          <w:p>
            <w:pPr>
              <w:spacing w:before="108" w:line="182" w:lineRule="auto"/>
              <w:ind w:left="31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7</w:t>
            </w:r>
          </w:p>
        </w:tc>
        <w:tc>
          <w:tcPr>
            <w:tcW w:w="730" w:type="dxa"/>
            <w:vAlign w:val="top"/>
          </w:tcPr>
          <w:p>
            <w:pPr>
              <w:spacing w:before="107"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8</w:t>
            </w:r>
          </w:p>
        </w:tc>
        <w:tc>
          <w:tcPr>
            <w:tcW w:w="739" w:type="dxa"/>
            <w:vAlign w:val="top"/>
          </w:tcPr>
          <w:p>
            <w:pPr>
              <w:spacing w:before="107" w:line="183" w:lineRule="auto"/>
              <w:ind w:left="32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9</w:t>
            </w:r>
          </w:p>
        </w:tc>
        <w:tc>
          <w:tcPr>
            <w:tcW w:w="859" w:type="dxa"/>
            <w:vAlign w:val="top"/>
          </w:tcPr>
          <w:p>
            <w:pPr>
              <w:spacing w:before="106" w:line="184" w:lineRule="auto"/>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w:t>
            </w:r>
          </w:p>
        </w:tc>
        <w:tc>
          <w:tcPr>
            <w:tcW w:w="740" w:type="dxa"/>
            <w:vAlign w:val="top"/>
          </w:tcPr>
          <w:p>
            <w:pPr>
              <w:spacing w:before="106" w:line="184"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w:t>
            </w:r>
          </w:p>
        </w:tc>
        <w:tc>
          <w:tcPr>
            <w:tcW w:w="744" w:type="dxa"/>
            <w:vAlign w:val="top"/>
          </w:tcPr>
          <w:p>
            <w:pPr>
              <w:spacing w:before="106" w:line="184" w:lineRule="auto"/>
              <w:ind w:left="45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12</w:t>
            </w:r>
          </w:p>
        </w:tc>
        <w:tc>
          <w:tcPr>
            <w:tcW w:w="804" w:type="dxa"/>
            <w:vAlign w:val="top"/>
          </w:tcPr>
          <w:p>
            <w:pPr>
              <w:spacing w:before="106" w:line="184" w:lineRule="auto"/>
              <w:ind w:left="2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restart"/>
            <w:tcBorders>
              <w:bottom w:val="nil"/>
            </w:tcBorders>
            <w:vAlign w:val="top"/>
          </w:tcPr>
          <w:p>
            <w:pPr>
              <w:spacing w:line="246" w:lineRule="auto"/>
              <w:rPr>
                <w:rFonts w:hint="default" w:ascii="Times New Roman" w:hAnsi="Times New Roman" w:cs="Times New Roman"/>
                <w:sz w:val="15"/>
                <w:szCs w:val="15"/>
                <w:highlight w:val="none"/>
              </w:rPr>
            </w:pPr>
          </w:p>
          <w:p>
            <w:pPr>
              <w:spacing w:line="246" w:lineRule="auto"/>
              <w:rPr>
                <w:rFonts w:hint="default" w:ascii="Times New Roman" w:hAnsi="Times New Roman" w:cs="Times New Roman"/>
                <w:sz w:val="15"/>
                <w:szCs w:val="15"/>
                <w:highlight w:val="none"/>
              </w:rPr>
            </w:pPr>
          </w:p>
          <w:p>
            <w:pPr>
              <w:spacing w:line="246" w:lineRule="auto"/>
              <w:rPr>
                <w:rFonts w:hint="default" w:ascii="Times New Roman" w:hAnsi="Times New Roman" w:cs="Times New Roman"/>
                <w:sz w:val="15"/>
                <w:szCs w:val="15"/>
                <w:highlight w:val="none"/>
              </w:rPr>
            </w:pPr>
          </w:p>
          <w:p>
            <w:pPr>
              <w:spacing w:line="246" w:lineRule="auto"/>
              <w:rPr>
                <w:rFonts w:hint="default" w:ascii="Times New Roman" w:hAnsi="Times New Roman" w:cs="Times New Roman"/>
                <w:sz w:val="15"/>
                <w:szCs w:val="15"/>
                <w:highlight w:val="none"/>
              </w:rPr>
            </w:pPr>
          </w:p>
          <w:p>
            <w:pPr>
              <w:spacing w:line="247" w:lineRule="auto"/>
              <w:rPr>
                <w:rFonts w:hint="default" w:ascii="Times New Roman" w:hAnsi="Times New Roman" w:cs="Times New Roman"/>
                <w:sz w:val="15"/>
                <w:szCs w:val="15"/>
                <w:highlight w:val="none"/>
              </w:rPr>
            </w:pPr>
          </w:p>
          <w:p>
            <w:pPr>
              <w:spacing w:line="247" w:lineRule="auto"/>
              <w:rPr>
                <w:rFonts w:hint="default" w:ascii="Times New Roman" w:hAnsi="Times New Roman" w:cs="Times New Roman"/>
                <w:sz w:val="15"/>
                <w:szCs w:val="15"/>
                <w:highlight w:val="none"/>
              </w:rPr>
            </w:pPr>
          </w:p>
          <w:p>
            <w:pPr>
              <w:spacing w:line="247" w:lineRule="auto"/>
              <w:rPr>
                <w:rFonts w:hint="default" w:ascii="Times New Roman" w:hAnsi="Times New Roman" w:cs="Times New Roman"/>
                <w:sz w:val="15"/>
                <w:szCs w:val="15"/>
                <w:highlight w:val="none"/>
              </w:rPr>
            </w:pPr>
          </w:p>
          <w:p>
            <w:pPr>
              <w:spacing w:line="247" w:lineRule="auto"/>
              <w:rPr>
                <w:rFonts w:hint="default" w:ascii="Times New Roman" w:hAnsi="Times New Roman" w:cs="Times New Roman"/>
                <w:sz w:val="15"/>
                <w:szCs w:val="15"/>
                <w:highlight w:val="none"/>
              </w:rPr>
            </w:pPr>
          </w:p>
          <w:p>
            <w:pPr>
              <w:spacing w:before="52" w:line="220" w:lineRule="auto"/>
              <w:ind w:right="58"/>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绩效指</w:t>
            </w:r>
            <w:r>
              <w:rPr>
                <w:rFonts w:hint="default" w:ascii="Times New Roman" w:hAnsi="Times New Roman" w:eastAsia="宋体" w:cs="Times New Roman"/>
                <w:sz w:val="15"/>
                <w:szCs w:val="15"/>
                <w:highlight w:val="none"/>
              </w:rPr>
              <w:t>标</w:t>
            </w:r>
          </w:p>
        </w:tc>
        <w:tc>
          <w:tcPr>
            <w:tcW w:w="930" w:type="dxa"/>
            <w:vMerge w:val="restart"/>
            <w:tcBorders>
              <w:bottom w:val="nil"/>
            </w:tcBorders>
            <w:vAlign w:val="top"/>
          </w:tcPr>
          <w:p>
            <w:pPr>
              <w:spacing w:line="253" w:lineRule="auto"/>
              <w:jc w:val="center"/>
              <w:rPr>
                <w:rFonts w:hint="default" w:ascii="Times New Roman" w:hAnsi="Times New Roman" w:cs="Times New Roman"/>
                <w:sz w:val="15"/>
                <w:szCs w:val="15"/>
                <w:highlight w:val="none"/>
              </w:rPr>
            </w:pPr>
          </w:p>
          <w:p>
            <w:pPr>
              <w:spacing w:line="253" w:lineRule="auto"/>
              <w:jc w:val="center"/>
              <w:rPr>
                <w:rFonts w:hint="default" w:ascii="Times New Roman" w:hAnsi="Times New Roman" w:cs="Times New Roman"/>
                <w:sz w:val="15"/>
                <w:szCs w:val="15"/>
                <w:highlight w:val="none"/>
              </w:rPr>
            </w:pPr>
          </w:p>
          <w:p>
            <w:pPr>
              <w:spacing w:line="253" w:lineRule="auto"/>
              <w:jc w:val="center"/>
              <w:rPr>
                <w:rFonts w:hint="default" w:ascii="Times New Roman" w:hAnsi="Times New Roman" w:cs="Times New Roman"/>
                <w:sz w:val="15"/>
                <w:szCs w:val="15"/>
                <w:highlight w:val="none"/>
              </w:rPr>
            </w:pPr>
          </w:p>
          <w:p>
            <w:pPr>
              <w:spacing w:line="253" w:lineRule="auto"/>
              <w:jc w:val="center"/>
              <w:rPr>
                <w:rFonts w:hint="default" w:ascii="Times New Roman" w:hAnsi="Times New Roman" w:cs="Times New Roman"/>
                <w:sz w:val="15"/>
                <w:szCs w:val="15"/>
                <w:highlight w:val="none"/>
              </w:rPr>
            </w:pPr>
          </w:p>
          <w:p>
            <w:pPr>
              <w:spacing w:line="254" w:lineRule="auto"/>
              <w:jc w:val="center"/>
              <w:rPr>
                <w:rFonts w:hint="default" w:ascii="Times New Roman" w:hAnsi="Times New Roman" w:cs="Times New Roman"/>
                <w:sz w:val="15"/>
                <w:szCs w:val="15"/>
                <w:highlight w:val="none"/>
              </w:rPr>
            </w:pPr>
          </w:p>
          <w:p>
            <w:pPr>
              <w:spacing w:before="52"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产出指标</w:t>
            </w:r>
          </w:p>
        </w:tc>
        <w:tc>
          <w:tcPr>
            <w:tcW w:w="739" w:type="dxa"/>
            <w:vMerge w:val="restart"/>
            <w:tcBorders>
              <w:bottom w:val="nil"/>
            </w:tcBorders>
            <w:vAlign w:val="top"/>
          </w:tcPr>
          <w:p>
            <w:pPr>
              <w:spacing w:line="330" w:lineRule="auto"/>
              <w:rPr>
                <w:rFonts w:hint="default" w:ascii="Times New Roman" w:hAnsi="Times New Roman" w:cs="Times New Roman"/>
                <w:sz w:val="15"/>
                <w:szCs w:val="15"/>
                <w:highlight w:val="none"/>
              </w:rPr>
            </w:pPr>
          </w:p>
          <w:p>
            <w:pPr>
              <w:spacing w:line="330" w:lineRule="auto"/>
              <w:rPr>
                <w:rFonts w:hint="default" w:ascii="Times New Roman" w:hAnsi="Times New Roman" w:cs="Times New Roman"/>
                <w:sz w:val="15"/>
                <w:szCs w:val="15"/>
                <w:highlight w:val="none"/>
              </w:rPr>
            </w:pPr>
          </w:p>
          <w:p>
            <w:pPr>
              <w:spacing w:before="52" w:line="219" w:lineRule="auto"/>
              <w:ind w:left="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数量指标</w:t>
            </w:r>
          </w:p>
        </w:tc>
        <w:tc>
          <w:tcPr>
            <w:tcW w:w="1709" w:type="dxa"/>
            <w:vAlign w:val="top"/>
          </w:tcPr>
          <w:p>
            <w:pPr>
              <w:spacing w:before="25" w:line="223" w:lineRule="auto"/>
              <w:jc w:val="left"/>
              <w:rPr>
                <w:rFonts w:hint="default" w:ascii="Times New Roman" w:hAnsi="Times New Roman" w:eastAsia="宋体" w:cs="Times New Roman"/>
                <w:sz w:val="15"/>
                <w:szCs w:val="15"/>
                <w:highlight w:val="none"/>
                <w:lang w:eastAsia="zh-CN"/>
              </w:rPr>
            </w:pPr>
            <w:r>
              <w:rPr>
                <w:rFonts w:hint="default" w:ascii="Times New Roman" w:hAnsi="Times New Roman" w:eastAsia="宋体" w:cs="Times New Roman"/>
                <w:spacing w:val="4"/>
                <w:sz w:val="15"/>
                <w:szCs w:val="15"/>
                <w:highlight w:val="none"/>
              </w:rPr>
              <w:t>春小麦补贴缺口面积</w:t>
            </w:r>
            <w:r>
              <w:rPr>
                <w:rFonts w:hint="default" w:ascii="Times New Roman" w:hAnsi="Times New Roman" w:eastAsia="宋体" w:cs="Times New Roman"/>
                <w:spacing w:val="4"/>
                <w:sz w:val="15"/>
                <w:szCs w:val="15"/>
                <w:highlight w:val="none"/>
                <w:lang w:eastAsia="zh-CN"/>
              </w:rPr>
              <w:t>（</w:t>
            </w:r>
            <w:r>
              <w:rPr>
                <w:rFonts w:hint="default" w:ascii="Times New Roman" w:hAnsi="Times New Roman" w:eastAsia="宋体" w:cs="Times New Roman"/>
                <w:spacing w:val="4"/>
                <w:sz w:val="15"/>
                <w:szCs w:val="15"/>
                <w:highlight w:val="none"/>
                <w:lang w:val="en-US" w:eastAsia="zh-CN"/>
              </w:rPr>
              <w:t>万亩</w:t>
            </w:r>
            <w:r>
              <w:rPr>
                <w:rFonts w:hint="default" w:ascii="Times New Roman" w:hAnsi="Times New Roman" w:eastAsia="宋体" w:cs="Times New Roman"/>
                <w:spacing w:val="4"/>
                <w:sz w:val="15"/>
                <w:szCs w:val="15"/>
                <w:highlight w:val="none"/>
                <w:lang w:eastAsia="zh-CN"/>
              </w:rPr>
              <w:t>）</w:t>
            </w:r>
          </w:p>
        </w:tc>
        <w:tc>
          <w:tcPr>
            <w:tcW w:w="740" w:type="dxa"/>
            <w:vAlign w:val="top"/>
          </w:tcPr>
          <w:p>
            <w:pPr>
              <w:spacing w:before="157" w:line="183" w:lineRule="auto"/>
              <w:ind w:left="16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23.08</w:t>
            </w:r>
          </w:p>
        </w:tc>
        <w:tc>
          <w:tcPr>
            <w:tcW w:w="720" w:type="dxa"/>
            <w:vAlign w:val="top"/>
          </w:tcPr>
          <w:p>
            <w:pPr>
              <w:spacing w:before="156" w:line="184" w:lineRule="auto"/>
              <w:ind w:left="35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1.8</w:t>
            </w:r>
          </w:p>
        </w:tc>
        <w:tc>
          <w:tcPr>
            <w:tcW w:w="739" w:type="dxa"/>
            <w:vAlign w:val="top"/>
          </w:tcPr>
          <w:p>
            <w:pPr>
              <w:spacing w:before="157"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49" w:type="dxa"/>
            <w:vAlign w:val="top"/>
          </w:tcPr>
          <w:p>
            <w:pPr>
              <w:spacing w:before="157" w:line="183" w:lineRule="auto"/>
              <w:ind w:left="3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2.6</w:t>
            </w:r>
          </w:p>
        </w:tc>
        <w:tc>
          <w:tcPr>
            <w:tcW w:w="949" w:type="dxa"/>
            <w:vAlign w:val="top"/>
          </w:tcPr>
          <w:p>
            <w:pPr>
              <w:spacing w:before="157" w:line="183" w:lineRule="auto"/>
              <w:ind w:left="30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0.08</w:t>
            </w:r>
          </w:p>
        </w:tc>
        <w:tc>
          <w:tcPr>
            <w:tcW w:w="730" w:type="dxa"/>
            <w:vAlign w:val="top"/>
          </w:tcPr>
          <w:p>
            <w:pPr>
              <w:spacing w:before="15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57"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56" w:line="184" w:lineRule="auto"/>
              <w:ind w:left="2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w:t>
            </w:r>
          </w:p>
        </w:tc>
        <w:tc>
          <w:tcPr>
            <w:tcW w:w="730" w:type="dxa"/>
            <w:vAlign w:val="top"/>
          </w:tcPr>
          <w:p>
            <w:pPr>
              <w:spacing w:before="157" w:line="183" w:lineRule="auto"/>
              <w:ind w:left="3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2.6</w:t>
            </w:r>
          </w:p>
        </w:tc>
        <w:tc>
          <w:tcPr>
            <w:tcW w:w="739" w:type="dxa"/>
            <w:vAlign w:val="top"/>
          </w:tcPr>
          <w:p>
            <w:pPr>
              <w:spacing w:before="156" w:line="184" w:lineRule="auto"/>
              <w:ind w:left="2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5.1</w:t>
            </w:r>
          </w:p>
        </w:tc>
        <w:tc>
          <w:tcPr>
            <w:tcW w:w="859" w:type="dxa"/>
            <w:vAlign w:val="top"/>
          </w:tcPr>
          <w:p>
            <w:pPr>
              <w:spacing w:before="157" w:line="183" w:lineRule="auto"/>
              <w:ind w:left="3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3.9</w:t>
            </w:r>
          </w:p>
        </w:tc>
        <w:tc>
          <w:tcPr>
            <w:tcW w:w="740" w:type="dxa"/>
            <w:vAlign w:val="top"/>
          </w:tcPr>
          <w:p>
            <w:pPr>
              <w:spacing w:before="157" w:line="183" w:lineRule="auto"/>
              <w:ind w:left="2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0.3</w:t>
            </w:r>
          </w:p>
        </w:tc>
        <w:tc>
          <w:tcPr>
            <w:tcW w:w="744" w:type="dxa"/>
            <w:vAlign w:val="top"/>
          </w:tcPr>
          <w:p>
            <w:pPr>
              <w:spacing w:before="157" w:line="183"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2.2</w:t>
            </w:r>
          </w:p>
        </w:tc>
        <w:tc>
          <w:tcPr>
            <w:tcW w:w="804" w:type="dxa"/>
            <w:vAlign w:val="top"/>
          </w:tcPr>
          <w:p>
            <w:pPr>
              <w:spacing w:before="157" w:line="183" w:lineRule="auto"/>
              <w:ind w:left="3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709" w:type="dxa"/>
            <w:vAlign w:val="top"/>
          </w:tcPr>
          <w:p>
            <w:pPr>
              <w:spacing w:before="118" w:line="220"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4"/>
                <w:sz w:val="15"/>
                <w:szCs w:val="15"/>
                <w:highlight w:val="none"/>
              </w:rPr>
              <w:t>缺口资金</w:t>
            </w:r>
            <w:r>
              <w:rPr>
                <w:rFonts w:hint="default" w:ascii="Times New Roman" w:hAnsi="Times New Roman" w:eastAsia="宋体" w:cs="Times New Roman"/>
                <w:spacing w:val="14"/>
                <w:sz w:val="15"/>
                <w:szCs w:val="15"/>
                <w:highlight w:val="none"/>
                <w:lang w:eastAsia="zh-CN"/>
              </w:rPr>
              <w:t>（</w:t>
            </w:r>
            <w:r>
              <w:rPr>
                <w:rFonts w:hint="default" w:ascii="Times New Roman" w:hAnsi="Times New Roman" w:eastAsia="宋体" w:cs="Times New Roman"/>
                <w:spacing w:val="14"/>
                <w:sz w:val="15"/>
                <w:szCs w:val="15"/>
                <w:highlight w:val="none"/>
              </w:rPr>
              <w:t>万元</w:t>
            </w:r>
            <w:r>
              <w:rPr>
                <w:rFonts w:hint="default" w:ascii="Times New Roman" w:hAnsi="Times New Roman" w:eastAsia="宋体" w:cs="Times New Roman"/>
                <w:spacing w:val="14"/>
                <w:sz w:val="15"/>
                <w:szCs w:val="15"/>
                <w:highlight w:val="none"/>
                <w:lang w:eastAsia="zh-CN"/>
              </w:rPr>
              <w:t>）</w:t>
            </w:r>
          </w:p>
        </w:tc>
        <w:tc>
          <w:tcPr>
            <w:tcW w:w="740" w:type="dxa"/>
            <w:vAlign w:val="top"/>
          </w:tcPr>
          <w:p>
            <w:pPr>
              <w:spacing w:before="158" w:line="183" w:lineRule="auto"/>
              <w:ind w:left="12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5054.5</w:t>
            </w:r>
          </w:p>
        </w:tc>
        <w:tc>
          <w:tcPr>
            <w:tcW w:w="720" w:type="dxa"/>
            <w:vAlign w:val="top"/>
          </w:tcPr>
          <w:p>
            <w:pPr>
              <w:spacing w:before="158" w:line="183" w:lineRule="auto"/>
              <w:ind w:left="19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394.2</w:t>
            </w:r>
          </w:p>
        </w:tc>
        <w:tc>
          <w:tcPr>
            <w:tcW w:w="739" w:type="dxa"/>
            <w:vAlign w:val="top"/>
          </w:tcPr>
          <w:p>
            <w:pPr>
              <w:spacing w:before="158" w:line="183" w:lineRule="auto"/>
              <w:ind w:left="32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49" w:type="dxa"/>
            <w:vAlign w:val="top"/>
          </w:tcPr>
          <w:p>
            <w:pPr>
              <w:spacing w:before="158" w:line="183" w:lineRule="auto"/>
              <w:ind w:left="2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569.4</w:t>
            </w:r>
          </w:p>
        </w:tc>
        <w:tc>
          <w:tcPr>
            <w:tcW w:w="949" w:type="dxa"/>
            <w:vAlign w:val="top"/>
          </w:tcPr>
          <w:p>
            <w:pPr>
              <w:spacing w:before="157" w:line="184" w:lineRule="auto"/>
              <w:ind w:left="2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17.52</w:t>
            </w:r>
          </w:p>
        </w:tc>
        <w:tc>
          <w:tcPr>
            <w:tcW w:w="730" w:type="dxa"/>
            <w:vAlign w:val="top"/>
          </w:tcPr>
          <w:p>
            <w:pPr>
              <w:spacing w:before="158"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58"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58" w:line="183"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240.9</w:t>
            </w:r>
          </w:p>
        </w:tc>
        <w:tc>
          <w:tcPr>
            <w:tcW w:w="730" w:type="dxa"/>
            <w:vAlign w:val="top"/>
          </w:tcPr>
          <w:p>
            <w:pPr>
              <w:spacing w:before="158" w:line="183"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569.4</w:t>
            </w:r>
          </w:p>
        </w:tc>
        <w:tc>
          <w:tcPr>
            <w:tcW w:w="739" w:type="dxa"/>
            <w:vAlign w:val="top"/>
          </w:tcPr>
          <w:p>
            <w:pPr>
              <w:spacing w:before="157" w:line="184"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1116.9</w:t>
            </w:r>
          </w:p>
        </w:tc>
        <w:tc>
          <w:tcPr>
            <w:tcW w:w="859" w:type="dxa"/>
            <w:vAlign w:val="top"/>
          </w:tcPr>
          <w:p>
            <w:pPr>
              <w:spacing w:before="157" w:line="184" w:lineRule="auto"/>
              <w:ind w:left="2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854.1</w:t>
            </w:r>
          </w:p>
        </w:tc>
        <w:tc>
          <w:tcPr>
            <w:tcW w:w="740" w:type="dxa"/>
            <w:vAlign w:val="top"/>
          </w:tcPr>
          <w:p>
            <w:pPr>
              <w:spacing w:before="158" w:line="183" w:lineRule="auto"/>
              <w:ind w:left="20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65.7</w:t>
            </w:r>
          </w:p>
        </w:tc>
        <w:tc>
          <w:tcPr>
            <w:tcW w:w="744" w:type="dxa"/>
            <w:vAlign w:val="top"/>
          </w:tcPr>
          <w:p>
            <w:pPr>
              <w:spacing w:before="157" w:line="184" w:lineRule="auto"/>
              <w:ind w:left="21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481.8</w:t>
            </w:r>
          </w:p>
        </w:tc>
        <w:tc>
          <w:tcPr>
            <w:tcW w:w="804" w:type="dxa"/>
            <w:vAlign w:val="top"/>
          </w:tcPr>
          <w:p>
            <w:pPr>
              <w:spacing w:before="158" w:line="183" w:lineRule="auto"/>
              <w:ind w:left="13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744.58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709" w:type="dxa"/>
            <w:vAlign w:val="top"/>
          </w:tcPr>
          <w:p>
            <w:pPr>
              <w:spacing w:before="117"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小麦补贴面积</w:t>
            </w:r>
            <w:r>
              <w:rPr>
                <w:rFonts w:hint="default" w:ascii="Times New Roman" w:hAnsi="Times New Roman" w:eastAsia="宋体" w:cs="Times New Roman"/>
                <w:spacing w:val="7"/>
                <w:sz w:val="15"/>
                <w:szCs w:val="15"/>
                <w:highlight w:val="none"/>
                <w:lang w:eastAsia="zh-CN"/>
              </w:rPr>
              <w:t>（</w:t>
            </w:r>
            <w:r>
              <w:rPr>
                <w:rFonts w:hint="default" w:ascii="Times New Roman" w:hAnsi="Times New Roman" w:eastAsia="宋体" w:cs="Times New Roman"/>
                <w:spacing w:val="7"/>
                <w:sz w:val="15"/>
                <w:szCs w:val="15"/>
                <w:highlight w:val="none"/>
              </w:rPr>
              <w:t>万亩</w:t>
            </w:r>
            <w:r>
              <w:rPr>
                <w:rFonts w:hint="default" w:ascii="Times New Roman" w:hAnsi="Times New Roman" w:eastAsia="宋体" w:cs="Times New Roman"/>
                <w:spacing w:val="7"/>
                <w:sz w:val="15"/>
                <w:szCs w:val="15"/>
                <w:highlight w:val="none"/>
                <w:lang w:eastAsia="zh-CN"/>
              </w:rPr>
              <w:t>）</w:t>
            </w:r>
          </w:p>
        </w:tc>
        <w:tc>
          <w:tcPr>
            <w:tcW w:w="740" w:type="dxa"/>
            <w:vAlign w:val="top"/>
          </w:tcPr>
          <w:p>
            <w:pPr>
              <w:spacing w:before="158" w:line="184" w:lineRule="auto"/>
              <w:ind w:left="8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1220.55</w:t>
            </w:r>
          </w:p>
        </w:tc>
        <w:tc>
          <w:tcPr>
            <w:tcW w:w="720" w:type="dxa"/>
            <w:vAlign w:val="top"/>
          </w:tcPr>
          <w:p>
            <w:pPr>
              <w:spacing w:before="159" w:line="183" w:lineRule="auto"/>
              <w:ind w:left="35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200</w:t>
            </w:r>
          </w:p>
        </w:tc>
        <w:tc>
          <w:tcPr>
            <w:tcW w:w="739" w:type="dxa"/>
            <w:vAlign w:val="top"/>
          </w:tcPr>
          <w:p>
            <w:pPr>
              <w:spacing w:before="158" w:line="184" w:lineRule="auto"/>
              <w:ind w:left="2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111</w:t>
            </w:r>
          </w:p>
        </w:tc>
        <w:tc>
          <w:tcPr>
            <w:tcW w:w="949" w:type="dxa"/>
            <w:vAlign w:val="top"/>
          </w:tcPr>
          <w:p>
            <w:pPr>
              <w:spacing w:before="159" w:line="183"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33</w:t>
            </w:r>
          </w:p>
        </w:tc>
        <w:tc>
          <w:tcPr>
            <w:tcW w:w="949" w:type="dxa"/>
            <w:vAlign w:val="top"/>
          </w:tcPr>
          <w:p>
            <w:pPr>
              <w:spacing w:before="159" w:line="183" w:lineRule="auto"/>
              <w:ind w:left="30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0.08</w:t>
            </w:r>
          </w:p>
        </w:tc>
        <w:tc>
          <w:tcPr>
            <w:tcW w:w="730" w:type="dxa"/>
            <w:vAlign w:val="top"/>
          </w:tcPr>
          <w:p>
            <w:pPr>
              <w:rPr>
                <w:rFonts w:hint="default" w:ascii="Times New Roman" w:hAnsi="Times New Roman" w:cs="Times New Roman"/>
                <w:sz w:val="15"/>
                <w:szCs w:val="15"/>
                <w:highlight w:val="none"/>
              </w:rPr>
            </w:pPr>
          </w:p>
        </w:tc>
        <w:tc>
          <w:tcPr>
            <w:tcW w:w="730" w:type="dxa"/>
            <w:vAlign w:val="top"/>
          </w:tcPr>
          <w:p>
            <w:pPr>
              <w:rPr>
                <w:rFonts w:hint="default" w:ascii="Times New Roman" w:hAnsi="Times New Roman" w:cs="Times New Roman"/>
                <w:sz w:val="15"/>
                <w:szCs w:val="15"/>
                <w:highlight w:val="none"/>
              </w:rPr>
            </w:pPr>
          </w:p>
        </w:tc>
        <w:tc>
          <w:tcPr>
            <w:tcW w:w="729" w:type="dxa"/>
            <w:vAlign w:val="top"/>
          </w:tcPr>
          <w:p>
            <w:pPr>
              <w:spacing w:before="158" w:line="184" w:lineRule="auto"/>
              <w:ind w:left="2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w:t>
            </w:r>
          </w:p>
        </w:tc>
        <w:tc>
          <w:tcPr>
            <w:tcW w:w="730" w:type="dxa"/>
            <w:vAlign w:val="top"/>
          </w:tcPr>
          <w:p>
            <w:pPr>
              <w:spacing w:before="159" w:line="183" w:lineRule="auto"/>
              <w:ind w:left="25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33</w:t>
            </w:r>
          </w:p>
        </w:tc>
        <w:tc>
          <w:tcPr>
            <w:tcW w:w="739" w:type="dxa"/>
            <w:vAlign w:val="top"/>
          </w:tcPr>
          <w:p>
            <w:pPr>
              <w:rPr>
                <w:rFonts w:hint="default" w:ascii="Times New Roman" w:hAnsi="Times New Roman" w:cs="Times New Roman"/>
                <w:sz w:val="15"/>
                <w:szCs w:val="15"/>
                <w:highlight w:val="none"/>
              </w:rPr>
            </w:pPr>
          </w:p>
        </w:tc>
        <w:tc>
          <w:tcPr>
            <w:tcW w:w="859" w:type="dxa"/>
            <w:vAlign w:val="top"/>
          </w:tcPr>
          <w:p>
            <w:pPr>
              <w:spacing w:before="159" w:line="183" w:lineRule="auto"/>
              <w:ind w:left="2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282.5</w:t>
            </w:r>
          </w:p>
        </w:tc>
        <w:tc>
          <w:tcPr>
            <w:tcW w:w="740" w:type="dxa"/>
            <w:vAlign w:val="top"/>
          </w:tcPr>
          <w:p>
            <w:pPr>
              <w:spacing w:before="159" w:line="183"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43</w:t>
            </w:r>
          </w:p>
        </w:tc>
        <w:tc>
          <w:tcPr>
            <w:tcW w:w="744" w:type="dxa"/>
            <w:vAlign w:val="top"/>
          </w:tcPr>
          <w:p>
            <w:pPr>
              <w:spacing w:before="159" w:line="183"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362</w:t>
            </w:r>
          </w:p>
        </w:tc>
        <w:tc>
          <w:tcPr>
            <w:tcW w:w="804" w:type="dxa"/>
            <w:vAlign w:val="top"/>
          </w:tcPr>
          <w:p>
            <w:pPr>
              <w:spacing w:before="158" w:line="184" w:lineRule="auto"/>
              <w:ind w:left="13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154.87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tcBorders>
            <w:vAlign w:val="top"/>
          </w:tcPr>
          <w:p>
            <w:pPr>
              <w:rPr>
                <w:rFonts w:hint="default" w:ascii="Times New Roman" w:hAnsi="Times New Roman" w:cs="Times New Roman"/>
                <w:sz w:val="15"/>
                <w:szCs w:val="15"/>
                <w:highlight w:val="none"/>
              </w:rPr>
            </w:pPr>
          </w:p>
        </w:tc>
        <w:tc>
          <w:tcPr>
            <w:tcW w:w="1709" w:type="dxa"/>
            <w:vAlign w:val="top"/>
          </w:tcPr>
          <w:p>
            <w:pPr>
              <w:spacing w:before="119"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9"/>
                <w:sz w:val="15"/>
                <w:szCs w:val="15"/>
                <w:highlight w:val="none"/>
              </w:rPr>
              <w:t>剩余补贴资金</w:t>
            </w:r>
            <w:r>
              <w:rPr>
                <w:rFonts w:hint="default" w:ascii="Times New Roman" w:hAnsi="Times New Roman" w:eastAsia="宋体" w:cs="Times New Roman"/>
                <w:spacing w:val="9"/>
                <w:sz w:val="15"/>
                <w:szCs w:val="15"/>
                <w:highlight w:val="none"/>
                <w:lang w:eastAsia="zh-CN"/>
              </w:rPr>
              <w:t>（</w:t>
            </w:r>
            <w:r>
              <w:rPr>
                <w:rFonts w:hint="default" w:ascii="Times New Roman" w:hAnsi="Times New Roman" w:eastAsia="宋体" w:cs="Times New Roman"/>
                <w:spacing w:val="9"/>
                <w:sz w:val="15"/>
                <w:szCs w:val="15"/>
                <w:highlight w:val="none"/>
              </w:rPr>
              <w:t>万元</w:t>
            </w:r>
            <w:r>
              <w:rPr>
                <w:rFonts w:hint="default" w:ascii="Times New Roman" w:hAnsi="Times New Roman" w:eastAsia="宋体" w:cs="Times New Roman"/>
                <w:spacing w:val="9"/>
                <w:sz w:val="15"/>
                <w:szCs w:val="15"/>
                <w:highlight w:val="none"/>
                <w:lang w:eastAsia="zh-CN"/>
              </w:rPr>
              <w:t>）</w:t>
            </w:r>
          </w:p>
        </w:tc>
        <w:tc>
          <w:tcPr>
            <w:tcW w:w="740" w:type="dxa"/>
            <w:vAlign w:val="top"/>
          </w:tcPr>
          <w:p>
            <w:pPr>
              <w:spacing w:before="159" w:line="184" w:lineRule="auto"/>
              <w:ind w:left="8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12205.5</w:t>
            </w:r>
          </w:p>
        </w:tc>
        <w:tc>
          <w:tcPr>
            <w:tcW w:w="720" w:type="dxa"/>
            <w:vAlign w:val="top"/>
          </w:tcPr>
          <w:p>
            <w:pPr>
              <w:spacing w:before="160" w:line="183"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2000</w:t>
            </w:r>
          </w:p>
        </w:tc>
        <w:tc>
          <w:tcPr>
            <w:tcW w:w="739" w:type="dxa"/>
            <w:vAlign w:val="top"/>
          </w:tcPr>
          <w:p>
            <w:pPr>
              <w:spacing w:before="159" w:line="184" w:lineRule="auto"/>
              <w:ind w:left="20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1110</w:t>
            </w:r>
          </w:p>
        </w:tc>
        <w:tc>
          <w:tcPr>
            <w:tcW w:w="949" w:type="dxa"/>
            <w:vAlign w:val="top"/>
          </w:tcPr>
          <w:p>
            <w:pPr>
              <w:spacing w:before="160" w:line="183" w:lineRule="auto"/>
              <w:ind w:left="3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330</w:t>
            </w:r>
          </w:p>
        </w:tc>
        <w:tc>
          <w:tcPr>
            <w:tcW w:w="949" w:type="dxa"/>
            <w:vAlign w:val="top"/>
          </w:tcPr>
          <w:p>
            <w:pPr>
              <w:spacing w:before="160" w:line="183" w:lineRule="auto"/>
              <w:ind w:left="3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0.8</w:t>
            </w:r>
          </w:p>
        </w:tc>
        <w:tc>
          <w:tcPr>
            <w:tcW w:w="730" w:type="dxa"/>
            <w:vAlign w:val="top"/>
          </w:tcPr>
          <w:p>
            <w:pPr>
              <w:spacing w:before="160"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30" w:type="dxa"/>
            <w:vAlign w:val="top"/>
          </w:tcPr>
          <w:p>
            <w:pPr>
              <w:spacing w:before="160" w:line="183" w:lineRule="auto"/>
              <w:ind w:left="31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729" w:type="dxa"/>
            <w:vAlign w:val="top"/>
          </w:tcPr>
          <w:p>
            <w:pPr>
              <w:spacing w:before="159" w:line="184" w:lineRule="auto"/>
              <w:ind w:left="27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11</w:t>
            </w:r>
          </w:p>
        </w:tc>
        <w:tc>
          <w:tcPr>
            <w:tcW w:w="730" w:type="dxa"/>
            <w:vAlign w:val="top"/>
          </w:tcPr>
          <w:p>
            <w:pPr>
              <w:spacing w:before="160" w:line="183" w:lineRule="auto"/>
              <w:ind w:left="3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330</w:t>
            </w:r>
          </w:p>
        </w:tc>
        <w:tc>
          <w:tcPr>
            <w:tcW w:w="739" w:type="dxa"/>
            <w:vAlign w:val="top"/>
          </w:tcPr>
          <w:p>
            <w:pPr>
              <w:spacing w:before="160" w:line="183" w:lineRule="auto"/>
              <w:ind w:left="32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859" w:type="dxa"/>
            <w:vAlign w:val="top"/>
          </w:tcPr>
          <w:p>
            <w:pPr>
              <w:spacing w:before="160" w:line="183" w:lineRule="auto"/>
              <w:ind w:left="26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2825</w:t>
            </w:r>
          </w:p>
        </w:tc>
        <w:tc>
          <w:tcPr>
            <w:tcW w:w="740" w:type="dxa"/>
            <w:vAlign w:val="top"/>
          </w:tcPr>
          <w:p>
            <w:pPr>
              <w:spacing w:before="160" w:line="183" w:lineRule="auto"/>
              <w:ind w:left="2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430</w:t>
            </w:r>
          </w:p>
        </w:tc>
        <w:tc>
          <w:tcPr>
            <w:tcW w:w="744" w:type="dxa"/>
            <w:vAlign w:val="top"/>
          </w:tcPr>
          <w:p>
            <w:pPr>
              <w:spacing w:before="160" w:line="183" w:lineRule="auto"/>
              <w:ind w:left="29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3620</w:t>
            </w:r>
          </w:p>
        </w:tc>
        <w:tc>
          <w:tcPr>
            <w:tcW w:w="804" w:type="dxa"/>
            <w:vAlign w:val="top"/>
          </w:tcPr>
          <w:p>
            <w:pPr>
              <w:spacing w:before="159" w:line="184" w:lineRule="auto"/>
              <w:ind w:left="13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1548.7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restart"/>
            <w:tcBorders>
              <w:bottom w:val="nil"/>
            </w:tcBorders>
            <w:vAlign w:val="top"/>
          </w:tcPr>
          <w:p>
            <w:pPr>
              <w:spacing w:line="267" w:lineRule="auto"/>
              <w:rPr>
                <w:rFonts w:hint="default" w:ascii="Times New Roman" w:hAnsi="Times New Roman" w:cs="Times New Roman"/>
                <w:sz w:val="15"/>
                <w:szCs w:val="15"/>
                <w:highlight w:val="none"/>
              </w:rPr>
            </w:pPr>
          </w:p>
          <w:p>
            <w:pPr>
              <w:spacing w:before="52" w:line="220" w:lineRule="auto"/>
              <w:ind w:left="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质量指标</w:t>
            </w:r>
          </w:p>
        </w:tc>
        <w:tc>
          <w:tcPr>
            <w:tcW w:w="1709" w:type="dxa"/>
            <w:vAlign w:val="top"/>
          </w:tcPr>
          <w:p>
            <w:pPr>
              <w:spacing w:before="119"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保障粮食安全能力</w:t>
            </w:r>
          </w:p>
        </w:tc>
        <w:tc>
          <w:tcPr>
            <w:tcW w:w="740" w:type="dxa"/>
            <w:vAlign w:val="top"/>
          </w:tcPr>
          <w:p>
            <w:pPr>
              <w:spacing w:before="120" w:line="219" w:lineRule="auto"/>
              <w:ind w:left="4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20" w:type="dxa"/>
            <w:vAlign w:val="top"/>
          </w:tcPr>
          <w:p>
            <w:pPr>
              <w:spacing w:before="120" w:line="219" w:lineRule="auto"/>
              <w:ind w:left="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9" w:type="dxa"/>
            <w:vAlign w:val="top"/>
          </w:tcPr>
          <w:p>
            <w:pPr>
              <w:spacing w:before="120" w:line="219" w:lineRule="auto"/>
              <w:ind w:left="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49" w:type="dxa"/>
            <w:vAlign w:val="top"/>
          </w:tcPr>
          <w:p>
            <w:pPr>
              <w:spacing w:before="120" w:line="219" w:lineRule="auto"/>
              <w:ind w:left="1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49" w:type="dxa"/>
            <w:vAlign w:val="top"/>
          </w:tcPr>
          <w:p>
            <w:pPr>
              <w:spacing w:before="120" w:line="219" w:lineRule="auto"/>
              <w:ind w:left="1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0" w:type="dxa"/>
            <w:vAlign w:val="top"/>
          </w:tcPr>
          <w:p>
            <w:pPr>
              <w:spacing w:before="120"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0" w:type="dxa"/>
            <w:vAlign w:val="top"/>
          </w:tcPr>
          <w:p>
            <w:pPr>
              <w:spacing w:before="120"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29" w:type="dxa"/>
            <w:vAlign w:val="top"/>
          </w:tcPr>
          <w:p>
            <w:pPr>
              <w:spacing w:before="120"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0" w:type="dxa"/>
            <w:vAlign w:val="top"/>
          </w:tcPr>
          <w:p>
            <w:pPr>
              <w:spacing w:before="120" w:line="219" w:lineRule="auto"/>
              <w:ind w:left="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39" w:type="dxa"/>
            <w:vAlign w:val="top"/>
          </w:tcPr>
          <w:p>
            <w:pPr>
              <w:spacing w:before="120" w:line="219" w:lineRule="auto"/>
              <w:ind w:left="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859" w:type="dxa"/>
            <w:vAlign w:val="top"/>
          </w:tcPr>
          <w:p>
            <w:pPr>
              <w:spacing w:before="120" w:line="219" w:lineRule="auto"/>
              <w:ind w:left="1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40" w:type="dxa"/>
            <w:vAlign w:val="top"/>
          </w:tcPr>
          <w:p>
            <w:pPr>
              <w:spacing w:before="120" w:line="219" w:lineRule="auto"/>
              <w:ind w:left="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744" w:type="dxa"/>
            <w:vAlign w:val="top"/>
          </w:tcPr>
          <w:p>
            <w:pPr>
              <w:spacing w:before="120"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804" w:type="dxa"/>
            <w:vAlign w:val="top"/>
          </w:tcPr>
          <w:p>
            <w:pPr>
              <w:spacing w:before="120" w:line="219" w:lineRule="auto"/>
              <w:ind w:left="4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tcBorders>
            <w:vAlign w:val="top"/>
          </w:tcPr>
          <w:p>
            <w:pPr>
              <w:rPr>
                <w:rFonts w:hint="default" w:ascii="Times New Roman" w:hAnsi="Times New Roman" w:cs="Times New Roman"/>
                <w:sz w:val="15"/>
                <w:szCs w:val="15"/>
                <w:highlight w:val="none"/>
              </w:rPr>
            </w:pPr>
          </w:p>
        </w:tc>
        <w:tc>
          <w:tcPr>
            <w:tcW w:w="1709" w:type="dxa"/>
            <w:vAlign w:val="top"/>
          </w:tcPr>
          <w:p>
            <w:pPr>
              <w:spacing w:before="121"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5"/>
                <w:sz w:val="15"/>
                <w:szCs w:val="15"/>
                <w:highlight w:val="none"/>
              </w:rPr>
              <w:t>补贴资金兑付率</w:t>
            </w:r>
            <w:r>
              <w:rPr>
                <w:rFonts w:hint="default" w:ascii="Times New Roman" w:hAnsi="Times New Roman" w:eastAsia="宋体" w:cs="Times New Roman"/>
                <w:spacing w:val="15"/>
                <w:sz w:val="15"/>
                <w:szCs w:val="15"/>
                <w:highlight w:val="none"/>
                <w:lang w:eastAsia="zh-CN"/>
              </w:rPr>
              <w:t>(</w:t>
            </w:r>
            <w:r>
              <w:rPr>
                <w:rFonts w:hint="default" w:ascii="Times New Roman" w:hAnsi="Times New Roman" w:eastAsia="宋体" w:cs="Times New Roman"/>
                <w:spacing w:val="15"/>
                <w:sz w:val="15"/>
                <w:szCs w:val="15"/>
                <w:highlight w:val="none"/>
              </w:rPr>
              <w:t>%)</w:t>
            </w:r>
          </w:p>
        </w:tc>
        <w:tc>
          <w:tcPr>
            <w:tcW w:w="740" w:type="dxa"/>
            <w:vAlign w:val="top"/>
          </w:tcPr>
          <w:p>
            <w:pPr>
              <w:spacing w:before="161" w:line="184" w:lineRule="auto"/>
              <w:ind w:left="24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20" w:type="dxa"/>
            <w:vAlign w:val="top"/>
          </w:tcPr>
          <w:p>
            <w:pPr>
              <w:spacing w:before="161" w:line="184" w:lineRule="auto"/>
              <w:ind w:left="35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9" w:type="dxa"/>
            <w:vAlign w:val="top"/>
          </w:tcPr>
          <w:p>
            <w:pPr>
              <w:spacing w:before="161" w:line="184" w:lineRule="auto"/>
              <w:ind w:left="2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949" w:type="dxa"/>
            <w:vAlign w:val="top"/>
          </w:tcPr>
          <w:p>
            <w:pPr>
              <w:spacing w:before="161" w:line="184" w:lineRule="auto"/>
              <w:ind w:left="3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949" w:type="dxa"/>
            <w:vAlign w:val="top"/>
          </w:tcPr>
          <w:p>
            <w:pPr>
              <w:spacing w:before="161" w:line="184" w:lineRule="auto"/>
              <w:ind w:left="3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0" w:type="dxa"/>
            <w:vAlign w:val="top"/>
          </w:tcPr>
          <w:p>
            <w:pPr>
              <w:spacing w:before="161" w:line="184" w:lineRule="auto"/>
              <w:ind w:left="2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0" w:type="dxa"/>
            <w:vAlign w:val="top"/>
          </w:tcPr>
          <w:p>
            <w:pPr>
              <w:spacing w:before="161" w:line="184" w:lineRule="auto"/>
              <w:ind w:left="2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29" w:type="dxa"/>
            <w:vAlign w:val="top"/>
          </w:tcPr>
          <w:p>
            <w:pPr>
              <w:spacing w:before="161" w:line="184" w:lineRule="auto"/>
              <w:ind w:left="2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0" w:type="dxa"/>
            <w:vAlign w:val="top"/>
          </w:tcPr>
          <w:p>
            <w:pPr>
              <w:spacing w:before="161" w:line="184" w:lineRule="auto"/>
              <w:ind w:left="3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39" w:type="dxa"/>
            <w:vAlign w:val="top"/>
          </w:tcPr>
          <w:p>
            <w:pPr>
              <w:spacing w:before="161" w:line="184" w:lineRule="auto"/>
              <w:ind w:left="2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859" w:type="dxa"/>
            <w:vAlign w:val="top"/>
          </w:tcPr>
          <w:p>
            <w:pPr>
              <w:spacing w:before="161" w:line="184" w:lineRule="auto"/>
              <w:ind w:left="3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40" w:type="dxa"/>
            <w:vAlign w:val="top"/>
          </w:tcPr>
          <w:p>
            <w:pPr>
              <w:spacing w:before="161" w:line="184" w:lineRule="auto"/>
              <w:ind w:left="2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744" w:type="dxa"/>
            <w:vAlign w:val="top"/>
          </w:tcPr>
          <w:p>
            <w:pPr>
              <w:spacing w:before="161" w:line="184"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c>
          <w:tcPr>
            <w:tcW w:w="804" w:type="dxa"/>
            <w:vAlign w:val="top"/>
          </w:tcPr>
          <w:p>
            <w:pPr>
              <w:spacing w:before="161" w:line="184" w:lineRule="auto"/>
              <w:ind w:left="37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tcBorders>
            <w:vAlign w:val="top"/>
          </w:tcPr>
          <w:p>
            <w:pPr>
              <w:jc w:val="center"/>
              <w:rPr>
                <w:rFonts w:hint="default" w:ascii="Times New Roman" w:hAnsi="Times New Roman" w:cs="Times New Roman"/>
                <w:sz w:val="15"/>
                <w:szCs w:val="15"/>
                <w:highlight w:val="none"/>
              </w:rPr>
            </w:pPr>
          </w:p>
        </w:tc>
        <w:tc>
          <w:tcPr>
            <w:tcW w:w="739" w:type="dxa"/>
            <w:vAlign w:val="top"/>
          </w:tcPr>
          <w:p>
            <w:pPr>
              <w:spacing w:before="123" w:line="220" w:lineRule="auto"/>
              <w:ind w:left="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时效指标</w:t>
            </w:r>
          </w:p>
        </w:tc>
        <w:tc>
          <w:tcPr>
            <w:tcW w:w="1709" w:type="dxa"/>
            <w:vAlign w:val="top"/>
          </w:tcPr>
          <w:p>
            <w:pPr>
              <w:spacing w:before="52" w:line="213"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完成农民补贴资金兑付时</w:t>
            </w:r>
            <w:r>
              <w:rPr>
                <w:rFonts w:hint="default" w:ascii="Times New Roman" w:hAnsi="Times New Roman" w:eastAsia="宋体" w:cs="Times New Roman"/>
                <w:spacing w:val="8"/>
                <w:sz w:val="15"/>
                <w:szCs w:val="15"/>
                <w:highlight w:val="none"/>
              </w:rPr>
              <w:t xml:space="preserve"> </w:t>
            </w:r>
            <w:r>
              <w:rPr>
                <w:rFonts w:hint="default" w:ascii="Times New Roman" w:hAnsi="Times New Roman" w:eastAsia="宋体" w:cs="Times New Roman"/>
                <w:sz w:val="15"/>
                <w:szCs w:val="15"/>
                <w:highlight w:val="none"/>
              </w:rPr>
              <w:t>限</w:t>
            </w:r>
          </w:p>
        </w:tc>
        <w:tc>
          <w:tcPr>
            <w:tcW w:w="740" w:type="dxa"/>
            <w:vAlign w:val="top"/>
          </w:tcPr>
          <w:p>
            <w:pPr>
              <w:spacing w:before="122" w:line="219" w:lineRule="auto"/>
              <w:ind w:left="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720" w:type="dxa"/>
            <w:vAlign w:val="top"/>
          </w:tcPr>
          <w:p>
            <w:pPr>
              <w:spacing w:before="122" w:line="23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6月30日前</w:t>
            </w:r>
          </w:p>
        </w:tc>
        <w:tc>
          <w:tcPr>
            <w:tcW w:w="739" w:type="dxa"/>
            <w:vAlign w:val="top"/>
          </w:tcPr>
          <w:p>
            <w:pPr>
              <w:spacing w:before="122" w:line="219" w:lineRule="auto"/>
              <w:ind w:left="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949" w:type="dxa"/>
            <w:vAlign w:val="top"/>
          </w:tcPr>
          <w:p>
            <w:pPr>
              <w:spacing w:before="122" w:line="219" w:lineRule="auto"/>
              <w:ind w:left="10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949" w:type="dxa"/>
            <w:vAlign w:val="top"/>
          </w:tcPr>
          <w:p>
            <w:pPr>
              <w:spacing w:before="122" w:line="219" w:lineRule="auto"/>
              <w:ind w:left="10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730" w:type="dxa"/>
            <w:vAlign w:val="top"/>
          </w:tcPr>
          <w:p>
            <w:pPr>
              <w:spacing w:before="122" w:line="23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6月30日前</w:t>
            </w:r>
          </w:p>
        </w:tc>
        <w:tc>
          <w:tcPr>
            <w:tcW w:w="730" w:type="dxa"/>
            <w:vAlign w:val="top"/>
          </w:tcPr>
          <w:p>
            <w:pPr>
              <w:spacing w:before="122" w:line="23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6月30日前</w:t>
            </w:r>
          </w:p>
        </w:tc>
        <w:tc>
          <w:tcPr>
            <w:tcW w:w="729" w:type="dxa"/>
            <w:vAlign w:val="top"/>
          </w:tcPr>
          <w:p>
            <w:pPr>
              <w:spacing w:before="122" w:line="23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6月30日前</w:t>
            </w:r>
          </w:p>
        </w:tc>
        <w:tc>
          <w:tcPr>
            <w:tcW w:w="730" w:type="dxa"/>
            <w:vAlign w:val="top"/>
          </w:tcPr>
          <w:p>
            <w:pPr>
              <w:spacing w:before="122" w:line="219" w:lineRule="auto"/>
              <w:ind w:left="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6月30日前</w:t>
            </w:r>
          </w:p>
        </w:tc>
        <w:tc>
          <w:tcPr>
            <w:tcW w:w="739" w:type="dxa"/>
            <w:vAlign w:val="top"/>
          </w:tcPr>
          <w:p>
            <w:pPr>
              <w:spacing w:before="122" w:line="219" w:lineRule="auto"/>
              <w:ind w:left="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859" w:type="dxa"/>
            <w:vAlign w:val="top"/>
          </w:tcPr>
          <w:p>
            <w:pPr>
              <w:spacing w:before="122" w:line="219" w:lineRule="auto"/>
              <w:ind w:left="6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740" w:type="dxa"/>
            <w:vAlign w:val="top"/>
          </w:tcPr>
          <w:p>
            <w:pPr>
              <w:spacing w:before="122"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c>
          <w:tcPr>
            <w:tcW w:w="744" w:type="dxa"/>
            <w:vAlign w:val="top"/>
          </w:tcPr>
          <w:p>
            <w:pPr>
              <w:spacing w:before="122" w:line="232" w:lineRule="auto"/>
              <w:ind w:left="9"/>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pacing w:val="5"/>
                <w:sz w:val="15"/>
                <w:szCs w:val="15"/>
                <w:highlight w:val="none"/>
              </w:rPr>
              <w:t>6月30日</w:t>
            </w:r>
            <w:r>
              <w:rPr>
                <w:rFonts w:hint="default" w:ascii="Times New Roman" w:hAnsi="Times New Roman" w:eastAsia="宋体" w:cs="Times New Roman"/>
                <w:spacing w:val="5"/>
                <w:sz w:val="15"/>
                <w:szCs w:val="15"/>
                <w:highlight w:val="none"/>
                <w:lang w:val="en-US" w:eastAsia="zh-CN"/>
              </w:rPr>
              <w:t>前</w:t>
            </w:r>
          </w:p>
        </w:tc>
        <w:tc>
          <w:tcPr>
            <w:tcW w:w="804" w:type="dxa"/>
            <w:vAlign w:val="top"/>
          </w:tcPr>
          <w:p>
            <w:pPr>
              <w:spacing w:before="122"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6月30日前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restart"/>
            <w:tcBorders>
              <w:bottom w:val="nil"/>
            </w:tcBorders>
            <w:vAlign w:val="top"/>
          </w:tcPr>
          <w:p>
            <w:pPr>
              <w:spacing w:line="469" w:lineRule="auto"/>
              <w:jc w:val="center"/>
              <w:rPr>
                <w:rFonts w:hint="default" w:ascii="Times New Roman" w:hAnsi="Times New Roman" w:cs="Times New Roman"/>
                <w:sz w:val="15"/>
                <w:szCs w:val="15"/>
                <w:highlight w:val="none"/>
              </w:rPr>
            </w:pPr>
          </w:p>
          <w:p>
            <w:pPr>
              <w:spacing w:before="52" w:line="220"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效益指标</w:t>
            </w:r>
          </w:p>
        </w:tc>
        <w:tc>
          <w:tcPr>
            <w:tcW w:w="739" w:type="dxa"/>
            <w:vAlign w:val="top"/>
          </w:tcPr>
          <w:p>
            <w:pPr>
              <w:spacing w:before="34" w:line="218" w:lineRule="auto"/>
              <w:ind w:left="190" w:right="35" w:hanging="129"/>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经济效益指标</w:t>
            </w:r>
          </w:p>
        </w:tc>
        <w:tc>
          <w:tcPr>
            <w:tcW w:w="1709" w:type="dxa"/>
            <w:vAlign w:val="top"/>
          </w:tcPr>
          <w:p>
            <w:pPr>
              <w:spacing w:before="122"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种粮农户收益</w:t>
            </w:r>
          </w:p>
        </w:tc>
        <w:tc>
          <w:tcPr>
            <w:tcW w:w="740" w:type="dxa"/>
            <w:vAlign w:val="top"/>
          </w:tcPr>
          <w:p>
            <w:pPr>
              <w:spacing w:before="123" w:line="219" w:lineRule="auto"/>
              <w:ind w:left="20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20" w:type="dxa"/>
            <w:vAlign w:val="top"/>
          </w:tcPr>
          <w:p>
            <w:pPr>
              <w:spacing w:before="123" w:line="219"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39" w:type="dxa"/>
            <w:vAlign w:val="top"/>
          </w:tcPr>
          <w:p>
            <w:pPr>
              <w:spacing w:before="123" w:line="219" w:lineRule="auto"/>
              <w:ind w:left="20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949" w:type="dxa"/>
            <w:vAlign w:val="top"/>
          </w:tcPr>
          <w:p>
            <w:pPr>
              <w:spacing w:before="123" w:line="219" w:lineRule="auto"/>
              <w:ind w:left="30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949" w:type="dxa"/>
            <w:vAlign w:val="top"/>
          </w:tcPr>
          <w:p>
            <w:pPr>
              <w:spacing w:before="124" w:line="220" w:lineRule="auto"/>
              <w:ind w:left="30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lang w:eastAsia="zh-CN"/>
              </w:rPr>
              <w:t>提高</w:t>
            </w:r>
          </w:p>
        </w:tc>
        <w:tc>
          <w:tcPr>
            <w:tcW w:w="730" w:type="dxa"/>
            <w:vAlign w:val="top"/>
          </w:tcPr>
          <w:p>
            <w:pPr>
              <w:spacing w:before="123" w:line="219" w:lineRule="auto"/>
              <w:ind w:left="19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30" w:type="dxa"/>
            <w:vAlign w:val="top"/>
          </w:tcPr>
          <w:p>
            <w:pPr>
              <w:spacing w:before="123" w:line="219" w:lineRule="auto"/>
              <w:ind w:left="19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29" w:type="dxa"/>
            <w:vAlign w:val="top"/>
          </w:tcPr>
          <w:p>
            <w:pPr>
              <w:spacing w:before="124" w:line="220" w:lineRule="auto"/>
              <w:ind w:left="19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lang w:eastAsia="zh-CN"/>
              </w:rPr>
              <w:t>提高</w:t>
            </w:r>
          </w:p>
        </w:tc>
        <w:tc>
          <w:tcPr>
            <w:tcW w:w="730" w:type="dxa"/>
            <w:vAlign w:val="top"/>
          </w:tcPr>
          <w:p>
            <w:pPr>
              <w:spacing w:before="123" w:line="219" w:lineRule="auto"/>
              <w:ind w:left="26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39" w:type="dxa"/>
            <w:vAlign w:val="top"/>
          </w:tcPr>
          <w:p>
            <w:pPr>
              <w:spacing w:before="123" w:line="219" w:lineRule="auto"/>
              <w:ind w:left="2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859" w:type="dxa"/>
            <w:vAlign w:val="top"/>
          </w:tcPr>
          <w:p>
            <w:pPr>
              <w:spacing w:before="123" w:line="219" w:lineRule="auto"/>
              <w:ind w:left="26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40" w:type="dxa"/>
            <w:vAlign w:val="top"/>
          </w:tcPr>
          <w:p>
            <w:pPr>
              <w:spacing w:before="123" w:line="219" w:lineRule="auto"/>
              <w:ind w:left="20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c>
          <w:tcPr>
            <w:tcW w:w="744" w:type="dxa"/>
            <w:vAlign w:val="top"/>
          </w:tcPr>
          <w:p>
            <w:pPr>
              <w:spacing w:before="124" w:line="220" w:lineRule="auto"/>
              <w:ind w:left="29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lang w:eastAsia="zh-CN"/>
              </w:rPr>
              <w:t>提高</w:t>
            </w:r>
          </w:p>
        </w:tc>
        <w:tc>
          <w:tcPr>
            <w:tcW w:w="804" w:type="dxa"/>
            <w:vAlign w:val="top"/>
          </w:tcPr>
          <w:p>
            <w:pPr>
              <w:spacing w:before="123" w:line="219" w:lineRule="auto"/>
              <w:ind w:left="29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bottom w:val="nil"/>
            </w:tcBorders>
            <w:vAlign w:val="top"/>
          </w:tcPr>
          <w:p>
            <w:pPr>
              <w:jc w:val="center"/>
              <w:rPr>
                <w:rFonts w:hint="default" w:ascii="Times New Roman" w:hAnsi="Times New Roman" w:cs="Times New Roman"/>
                <w:sz w:val="15"/>
                <w:szCs w:val="15"/>
                <w:highlight w:val="none"/>
              </w:rPr>
            </w:pPr>
          </w:p>
        </w:tc>
        <w:tc>
          <w:tcPr>
            <w:tcW w:w="739" w:type="dxa"/>
            <w:vMerge w:val="restart"/>
            <w:tcBorders>
              <w:bottom w:val="nil"/>
            </w:tcBorders>
            <w:vAlign w:val="top"/>
          </w:tcPr>
          <w:p>
            <w:pPr>
              <w:spacing w:before="234" w:line="226" w:lineRule="auto"/>
              <w:ind w:left="210" w:right="35" w:hanging="1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社会效益</w:t>
            </w:r>
            <w:r>
              <w:rPr>
                <w:rFonts w:hint="default" w:ascii="Times New Roman" w:hAnsi="Times New Roman" w:eastAsia="宋体" w:cs="Times New Roman"/>
                <w:sz w:val="15"/>
                <w:szCs w:val="15"/>
                <w:highlight w:val="none"/>
              </w:rPr>
              <w:t xml:space="preserve"> </w:t>
            </w:r>
            <w:r>
              <w:rPr>
                <w:rFonts w:hint="default" w:ascii="Times New Roman" w:hAnsi="Times New Roman" w:eastAsia="宋体" w:cs="Times New Roman"/>
                <w:spacing w:val="-3"/>
                <w:sz w:val="15"/>
                <w:szCs w:val="15"/>
                <w:highlight w:val="none"/>
              </w:rPr>
              <w:t>指标</w:t>
            </w:r>
          </w:p>
        </w:tc>
        <w:tc>
          <w:tcPr>
            <w:tcW w:w="1709" w:type="dxa"/>
            <w:vAlign w:val="top"/>
          </w:tcPr>
          <w:p>
            <w:pPr>
              <w:spacing w:before="123" w:line="219"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农民种粮积极性</w:t>
            </w:r>
          </w:p>
        </w:tc>
        <w:tc>
          <w:tcPr>
            <w:tcW w:w="740" w:type="dxa"/>
            <w:vAlign w:val="top"/>
          </w:tcPr>
          <w:p>
            <w:pPr>
              <w:spacing w:before="124" w:line="219" w:lineRule="auto"/>
              <w:ind w:left="4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20" w:type="dxa"/>
            <w:vAlign w:val="top"/>
          </w:tcPr>
          <w:p>
            <w:pPr>
              <w:spacing w:before="124" w:line="219" w:lineRule="auto"/>
              <w:ind w:left="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9" w:type="dxa"/>
            <w:vAlign w:val="top"/>
          </w:tcPr>
          <w:p>
            <w:pPr>
              <w:spacing w:before="124" w:line="219" w:lineRule="auto"/>
              <w:ind w:left="4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49" w:type="dxa"/>
            <w:vAlign w:val="top"/>
          </w:tcPr>
          <w:p>
            <w:pPr>
              <w:spacing w:before="124" w:line="219" w:lineRule="auto"/>
              <w:ind w:left="1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49" w:type="dxa"/>
            <w:vAlign w:val="top"/>
          </w:tcPr>
          <w:p>
            <w:pPr>
              <w:spacing w:before="124" w:line="219" w:lineRule="auto"/>
              <w:ind w:left="1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0" w:type="dxa"/>
            <w:vAlign w:val="top"/>
          </w:tcPr>
          <w:p>
            <w:pPr>
              <w:spacing w:before="124"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0" w:type="dxa"/>
            <w:vAlign w:val="top"/>
          </w:tcPr>
          <w:p>
            <w:pPr>
              <w:spacing w:before="124"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29" w:type="dxa"/>
            <w:vAlign w:val="top"/>
          </w:tcPr>
          <w:p>
            <w:pPr>
              <w:spacing w:before="124" w:line="219" w:lineRule="auto"/>
              <w:ind w:left="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0" w:type="dxa"/>
            <w:vAlign w:val="top"/>
          </w:tcPr>
          <w:p>
            <w:pPr>
              <w:spacing w:before="124" w:line="219" w:lineRule="auto"/>
              <w:ind w:left="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39" w:type="dxa"/>
            <w:vAlign w:val="top"/>
          </w:tcPr>
          <w:p>
            <w:pPr>
              <w:spacing w:before="124" w:line="219" w:lineRule="auto"/>
              <w:ind w:left="4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859" w:type="dxa"/>
            <w:vAlign w:val="top"/>
          </w:tcPr>
          <w:p>
            <w:pPr>
              <w:spacing w:before="124" w:line="219" w:lineRule="auto"/>
              <w:ind w:left="10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40" w:type="dxa"/>
            <w:vAlign w:val="top"/>
          </w:tcPr>
          <w:p>
            <w:pPr>
              <w:spacing w:before="124" w:line="219" w:lineRule="auto"/>
              <w:ind w:left="4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744" w:type="dxa"/>
            <w:vAlign w:val="top"/>
          </w:tcPr>
          <w:p>
            <w:pPr>
              <w:spacing w:before="124"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804" w:type="dxa"/>
            <w:vAlign w:val="top"/>
          </w:tcPr>
          <w:p>
            <w:pPr>
              <w:spacing w:before="124" w:line="219" w:lineRule="auto"/>
              <w:ind w:left="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84" w:type="dxa"/>
            <w:vMerge w:val="continue"/>
            <w:tcBorders>
              <w:top w:val="nil"/>
              <w:bottom w:val="nil"/>
            </w:tcBorders>
            <w:vAlign w:val="top"/>
          </w:tcPr>
          <w:p>
            <w:pPr>
              <w:rPr>
                <w:rFonts w:hint="default" w:ascii="Times New Roman" w:hAnsi="Times New Roman" w:cs="Times New Roman"/>
                <w:sz w:val="15"/>
                <w:szCs w:val="15"/>
                <w:highlight w:val="none"/>
              </w:rPr>
            </w:pPr>
          </w:p>
        </w:tc>
        <w:tc>
          <w:tcPr>
            <w:tcW w:w="930" w:type="dxa"/>
            <w:vMerge w:val="continue"/>
            <w:tcBorders>
              <w:top w:val="nil"/>
            </w:tcBorders>
            <w:vAlign w:val="top"/>
          </w:tcPr>
          <w:p>
            <w:pPr>
              <w:jc w:val="center"/>
              <w:rPr>
                <w:rFonts w:hint="default" w:ascii="Times New Roman" w:hAnsi="Times New Roman" w:cs="Times New Roman"/>
                <w:sz w:val="15"/>
                <w:szCs w:val="15"/>
                <w:highlight w:val="none"/>
              </w:rPr>
            </w:pPr>
          </w:p>
        </w:tc>
        <w:tc>
          <w:tcPr>
            <w:tcW w:w="739" w:type="dxa"/>
            <w:vMerge w:val="continue"/>
            <w:tcBorders>
              <w:top w:val="nil"/>
            </w:tcBorders>
            <w:vAlign w:val="top"/>
          </w:tcPr>
          <w:p>
            <w:pPr>
              <w:rPr>
                <w:rFonts w:hint="default" w:ascii="Times New Roman" w:hAnsi="Times New Roman" w:cs="Times New Roman"/>
                <w:sz w:val="15"/>
                <w:szCs w:val="15"/>
                <w:highlight w:val="none"/>
              </w:rPr>
            </w:pPr>
          </w:p>
        </w:tc>
        <w:tc>
          <w:tcPr>
            <w:tcW w:w="1709" w:type="dxa"/>
            <w:vAlign w:val="top"/>
          </w:tcPr>
          <w:p>
            <w:pPr>
              <w:spacing w:before="24" w:line="224"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是否有资金使用重大违规</w:t>
            </w:r>
            <w:r>
              <w:rPr>
                <w:rFonts w:hint="default" w:ascii="Times New Roman" w:hAnsi="Times New Roman" w:eastAsia="宋体" w:cs="Times New Roman"/>
                <w:spacing w:val="8"/>
                <w:sz w:val="15"/>
                <w:szCs w:val="15"/>
                <w:highlight w:val="none"/>
              </w:rPr>
              <w:t xml:space="preserve"> 违纪问题</w:t>
            </w:r>
          </w:p>
        </w:tc>
        <w:tc>
          <w:tcPr>
            <w:tcW w:w="740" w:type="dxa"/>
            <w:vAlign w:val="top"/>
          </w:tcPr>
          <w:p>
            <w:pPr>
              <w:spacing w:before="126" w:line="220" w:lineRule="auto"/>
              <w:ind w:left="28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20" w:type="dxa"/>
            <w:vAlign w:val="top"/>
          </w:tcPr>
          <w:p>
            <w:pPr>
              <w:spacing w:before="126" w:line="220" w:lineRule="auto"/>
              <w:ind w:left="24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9" w:type="dxa"/>
            <w:vAlign w:val="top"/>
          </w:tcPr>
          <w:p>
            <w:pPr>
              <w:spacing w:before="126" w:line="220" w:lineRule="auto"/>
              <w:ind w:left="28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49" w:type="dxa"/>
            <w:vAlign w:val="top"/>
          </w:tcPr>
          <w:p>
            <w:pPr>
              <w:spacing w:before="126" w:line="220"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49" w:type="dxa"/>
            <w:vAlign w:val="top"/>
          </w:tcPr>
          <w:p>
            <w:pPr>
              <w:spacing w:before="126" w:line="220" w:lineRule="auto"/>
              <w:ind w:left="38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0" w:type="dxa"/>
            <w:vAlign w:val="top"/>
          </w:tcPr>
          <w:p>
            <w:pPr>
              <w:spacing w:before="126" w:line="220" w:lineRule="auto"/>
              <w:ind w:left="27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0" w:type="dxa"/>
            <w:vAlign w:val="top"/>
          </w:tcPr>
          <w:p>
            <w:pPr>
              <w:spacing w:before="126" w:line="220" w:lineRule="auto"/>
              <w:ind w:left="27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29" w:type="dxa"/>
            <w:vAlign w:val="top"/>
          </w:tcPr>
          <w:p>
            <w:pPr>
              <w:spacing w:before="126" w:line="220" w:lineRule="auto"/>
              <w:ind w:left="27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0" w:type="dxa"/>
            <w:vAlign w:val="top"/>
          </w:tcPr>
          <w:p>
            <w:pPr>
              <w:spacing w:before="126" w:line="220" w:lineRule="auto"/>
              <w:ind w:left="25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39" w:type="dxa"/>
            <w:vAlign w:val="top"/>
          </w:tcPr>
          <w:p>
            <w:pPr>
              <w:spacing w:before="126" w:line="220" w:lineRule="auto"/>
              <w:ind w:left="28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859" w:type="dxa"/>
            <w:vAlign w:val="top"/>
          </w:tcPr>
          <w:p>
            <w:pPr>
              <w:spacing w:before="126" w:line="220" w:lineRule="auto"/>
              <w:ind w:left="34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40" w:type="dxa"/>
            <w:vAlign w:val="top"/>
          </w:tcPr>
          <w:p>
            <w:pPr>
              <w:spacing w:before="126" w:line="220" w:lineRule="auto"/>
              <w:ind w:left="2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744" w:type="dxa"/>
            <w:vAlign w:val="top"/>
          </w:tcPr>
          <w:p>
            <w:pPr>
              <w:spacing w:before="126" w:line="220" w:lineRule="auto"/>
              <w:ind w:left="27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804" w:type="dxa"/>
            <w:vAlign w:val="top"/>
          </w:tcPr>
          <w:p>
            <w:pPr>
              <w:spacing w:before="126" w:line="220" w:lineRule="auto"/>
              <w:ind w:left="450"/>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4" w:type="dxa"/>
            <w:vMerge w:val="continue"/>
            <w:tcBorders>
              <w:top w:val="nil"/>
            </w:tcBorders>
            <w:vAlign w:val="top"/>
          </w:tcPr>
          <w:p>
            <w:pPr>
              <w:rPr>
                <w:rFonts w:hint="default" w:ascii="Times New Roman" w:hAnsi="Times New Roman" w:cs="Times New Roman"/>
                <w:sz w:val="15"/>
                <w:szCs w:val="15"/>
                <w:highlight w:val="none"/>
              </w:rPr>
            </w:pPr>
          </w:p>
        </w:tc>
        <w:tc>
          <w:tcPr>
            <w:tcW w:w="930" w:type="dxa"/>
            <w:vAlign w:val="top"/>
          </w:tcPr>
          <w:p>
            <w:pPr>
              <w:spacing w:before="126"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满意度指标</w:t>
            </w:r>
          </w:p>
        </w:tc>
        <w:tc>
          <w:tcPr>
            <w:tcW w:w="739" w:type="dxa"/>
            <w:vAlign w:val="top"/>
          </w:tcPr>
          <w:p>
            <w:pPr>
              <w:spacing w:before="25" w:line="208" w:lineRule="auto"/>
              <w:ind w:left="61" w:right="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服务对象</w:t>
            </w:r>
            <w:r>
              <w:rPr>
                <w:rFonts w:hint="default" w:ascii="Times New Roman" w:hAnsi="Times New Roman" w:eastAsia="宋体" w:cs="Times New Roman"/>
                <w:sz w:val="15"/>
                <w:szCs w:val="15"/>
                <w:highlight w:val="none"/>
              </w:rPr>
              <w:t xml:space="preserve"> </w:t>
            </w:r>
            <w:r>
              <w:rPr>
                <w:rFonts w:hint="default" w:ascii="Times New Roman" w:hAnsi="Times New Roman" w:eastAsia="宋体" w:cs="Times New Roman"/>
                <w:spacing w:val="-2"/>
                <w:sz w:val="15"/>
                <w:szCs w:val="15"/>
                <w:highlight w:val="none"/>
              </w:rPr>
              <w:t>满意度指</w:t>
            </w:r>
          </w:p>
        </w:tc>
        <w:tc>
          <w:tcPr>
            <w:tcW w:w="1709" w:type="dxa"/>
            <w:vAlign w:val="top"/>
          </w:tcPr>
          <w:p>
            <w:pPr>
              <w:spacing w:before="35" w:line="221" w:lineRule="auto"/>
              <w:jc w:val="left"/>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实际种粮农民一次性补贴</w:t>
            </w:r>
            <w:r>
              <w:rPr>
                <w:rFonts w:hint="default" w:ascii="Times New Roman" w:hAnsi="Times New Roman" w:eastAsia="宋体" w:cs="Times New Roman"/>
                <w:spacing w:val="8"/>
                <w:sz w:val="15"/>
                <w:szCs w:val="15"/>
                <w:highlight w:val="none"/>
              </w:rPr>
              <w:t xml:space="preserve"> </w:t>
            </w:r>
            <w:r>
              <w:rPr>
                <w:rFonts w:hint="default" w:ascii="Times New Roman" w:hAnsi="Times New Roman" w:eastAsia="宋体" w:cs="Times New Roman"/>
                <w:spacing w:val="23"/>
                <w:sz w:val="15"/>
                <w:szCs w:val="15"/>
                <w:highlight w:val="none"/>
              </w:rPr>
              <w:t>政策群众满意度</w:t>
            </w:r>
            <w:r>
              <w:rPr>
                <w:rFonts w:hint="default" w:ascii="Times New Roman" w:hAnsi="Times New Roman" w:eastAsia="宋体" w:cs="Times New Roman"/>
                <w:spacing w:val="23"/>
                <w:sz w:val="15"/>
                <w:szCs w:val="15"/>
                <w:highlight w:val="none"/>
                <w:lang w:eastAsia="zh-CN"/>
              </w:rPr>
              <w:t>(</w:t>
            </w:r>
            <w:r>
              <w:rPr>
                <w:rFonts w:hint="default" w:ascii="Times New Roman" w:hAnsi="Times New Roman" w:eastAsia="宋体" w:cs="Times New Roman"/>
                <w:spacing w:val="23"/>
                <w:sz w:val="15"/>
                <w:szCs w:val="15"/>
                <w:highlight w:val="none"/>
              </w:rPr>
              <w:t>%)</w:t>
            </w:r>
          </w:p>
        </w:tc>
        <w:tc>
          <w:tcPr>
            <w:tcW w:w="740" w:type="dxa"/>
            <w:vAlign w:val="top"/>
          </w:tcPr>
          <w:p>
            <w:pPr>
              <w:spacing w:before="142" w:line="237" w:lineRule="auto"/>
              <w:ind w:left="162"/>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20" w:type="dxa"/>
            <w:vAlign w:val="top"/>
          </w:tcPr>
          <w:p>
            <w:pPr>
              <w:spacing w:before="142" w:line="237" w:lineRule="auto"/>
              <w:ind w:left="19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9" w:type="dxa"/>
            <w:vAlign w:val="top"/>
          </w:tcPr>
          <w:p>
            <w:pPr>
              <w:spacing w:before="142" w:line="237" w:lineRule="auto"/>
              <w:ind w:left="16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949" w:type="dxa"/>
            <w:vAlign w:val="top"/>
          </w:tcPr>
          <w:p>
            <w:pPr>
              <w:spacing w:before="142" w:line="237" w:lineRule="auto"/>
              <w:ind w:left="2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949" w:type="dxa"/>
            <w:vAlign w:val="top"/>
          </w:tcPr>
          <w:p>
            <w:pPr>
              <w:spacing w:before="142" w:line="237" w:lineRule="auto"/>
              <w:ind w:left="26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0" w:type="dxa"/>
            <w:vAlign w:val="top"/>
          </w:tcPr>
          <w:p>
            <w:pPr>
              <w:spacing w:before="142" w:line="237"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0" w:type="dxa"/>
            <w:vAlign w:val="top"/>
          </w:tcPr>
          <w:p>
            <w:pPr>
              <w:spacing w:before="142" w:line="237"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29" w:type="dxa"/>
            <w:vAlign w:val="top"/>
          </w:tcPr>
          <w:p>
            <w:pPr>
              <w:spacing w:before="142" w:line="237" w:lineRule="auto"/>
              <w:ind w:left="15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0" w:type="dxa"/>
            <w:vAlign w:val="top"/>
          </w:tcPr>
          <w:p>
            <w:pPr>
              <w:spacing w:before="142" w:line="237" w:lineRule="auto"/>
              <w:ind w:left="1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39" w:type="dxa"/>
            <w:vAlign w:val="top"/>
          </w:tcPr>
          <w:p>
            <w:pPr>
              <w:spacing w:before="142" w:line="237" w:lineRule="auto"/>
              <w:ind w:left="16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859" w:type="dxa"/>
            <w:vAlign w:val="top"/>
          </w:tcPr>
          <w:p>
            <w:pPr>
              <w:spacing w:before="142" w:line="237" w:lineRule="auto"/>
              <w:ind w:left="2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40" w:type="dxa"/>
            <w:vAlign w:val="top"/>
          </w:tcPr>
          <w:p>
            <w:pPr>
              <w:spacing w:before="142" w:line="237"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744" w:type="dxa"/>
            <w:vAlign w:val="top"/>
          </w:tcPr>
          <w:p>
            <w:pPr>
              <w:spacing w:before="142" w:line="237" w:lineRule="auto"/>
              <w:ind w:left="21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c>
          <w:tcPr>
            <w:tcW w:w="804" w:type="dxa"/>
            <w:vAlign w:val="top"/>
          </w:tcPr>
          <w:p>
            <w:pPr>
              <w:spacing w:before="142" w:line="237" w:lineRule="auto"/>
              <w:ind w:left="21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≥85%</w:t>
            </w:r>
          </w:p>
        </w:tc>
      </w:tr>
    </w:tbl>
    <w:p>
      <w:pPr>
        <w:keepNext w:val="0"/>
        <w:keepLines w:val="0"/>
        <w:pageBreakBefore w:val="0"/>
        <w:wordWrap/>
        <w:overflowPunct/>
        <w:topLinePunct w:val="0"/>
        <w:bidi w:val="0"/>
        <w:spacing w:line="560" w:lineRule="exact"/>
        <w:rPr>
          <w:rFonts w:hint="default" w:ascii="Times New Roman" w:hAnsi="Times New Roman" w:cs="Times New Roman"/>
          <w:sz w:val="32"/>
          <w:szCs w:val="32"/>
          <w:highlight w:val="none"/>
        </w:rPr>
        <w:sectPr>
          <w:pgSz w:w="16838" w:h="11906" w:orient="landscape"/>
          <w:pgMar w:top="720" w:right="720" w:bottom="720" w:left="720" w:header="851" w:footer="992" w:gutter="0"/>
          <w:pgNumType w:fmt="decimal"/>
          <w:cols w:space="425" w:num="1"/>
          <w:docGrid w:type="lines" w:linePitch="312" w:charSpace="0"/>
        </w:sectPr>
      </w:pPr>
    </w:p>
    <w:p>
      <w:pPr>
        <w:spacing w:before="1" w:line="218" w:lineRule="auto"/>
        <w:jc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b/>
          <w:bCs/>
          <w:spacing w:val="-13"/>
          <w:sz w:val="28"/>
          <w:szCs w:val="28"/>
          <w:highlight w:val="none"/>
        </w:rPr>
        <w:t>2022年中央实际种粮农民一次性补贴资金区域绩效目标表</w:t>
      </w:r>
    </w:p>
    <w:p>
      <w:pPr>
        <w:spacing w:line="30" w:lineRule="exact"/>
        <w:rPr>
          <w:rFonts w:hint="default" w:ascii="Times New Roman" w:hAnsi="Times New Roman" w:cs="Times New Roman"/>
          <w:highlight w:val="none"/>
        </w:rPr>
      </w:pPr>
    </w:p>
    <w:tbl>
      <w:tblPr>
        <w:tblStyle w:val="16"/>
        <w:tblW w:w="15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1356"/>
        <w:gridCol w:w="1236"/>
        <w:gridCol w:w="1816"/>
        <w:gridCol w:w="1409"/>
        <w:gridCol w:w="910"/>
        <w:gridCol w:w="899"/>
        <w:gridCol w:w="910"/>
        <w:gridCol w:w="919"/>
        <w:gridCol w:w="909"/>
        <w:gridCol w:w="1109"/>
        <w:gridCol w:w="920"/>
        <w:gridCol w:w="1049"/>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479" w:type="dxa"/>
            <w:gridSpan w:val="2"/>
            <w:vAlign w:val="top"/>
          </w:tcPr>
          <w:p>
            <w:pPr>
              <w:spacing w:before="74" w:line="211" w:lineRule="auto"/>
              <w:ind w:left="9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资金名称</w:t>
            </w:r>
          </w:p>
        </w:tc>
        <w:tc>
          <w:tcPr>
            <w:tcW w:w="3052" w:type="dxa"/>
            <w:gridSpan w:val="2"/>
            <w:vAlign w:val="top"/>
          </w:tcPr>
          <w:p>
            <w:pPr>
              <w:spacing w:before="52" w:line="219" w:lineRule="auto"/>
              <w:ind w:left="7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中央实际种粮农民一次性补</w:t>
            </w:r>
          </w:p>
        </w:tc>
        <w:tc>
          <w:tcPr>
            <w:tcW w:w="1409" w:type="dxa"/>
            <w:vAlign w:val="top"/>
          </w:tcPr>
          <w:p>
            <w:pPr>
              <w:spacing w:before="54" w:line="220" w:lineRule="auto"/>
              <w:ind w:left="63"/>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pacing w:val="6"/>
                <w:sz w:val="15"/>
                <w:szCs w:val="15"/>
                <w:highlight w:val="none"/>
              </w:rPr>
              <w:t>全区总</w:t>
            </w:r>
            <w:r>
              <w:rPr>
                <w:rFonts w:hint="default" w:ascii="Times New Roman" w:hAnsi="Times New Roman" w:eastAsia="宋体" w:cs="Times New Roman"/>
                <w:spacing w:val="6"/>
                <w:sz w:val="15"/>
                <w:szCs w:val="15"/>
                <w:highlight w:val="none"/>
                <w:lang w:val="en-US" w:eastAsia="zh-CN"/>
              </w:rPr>
              <w:t>绩效目标</w:t>
            </w:r>
          </w:p>
        </w:tc>
        <w:tc>
          <w:tcPr>
            <w:tcW w:w="8819" w:type="dxa"/>
            <w:gridSpan w:val="9"/>
            <w:vAlign w:val="top"/>
          </w:tcPr>
          <w:p>
            <w:pPr>
              <w:spacing w:before="94" w:line="194" w:lineRule="auto"/>
              <w:ind w:left="366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分区域绩效目标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479" w:type="dxa"/>
            <w:gridSpan w:val="2"/>
            <w:vAlign w:val="top"/>
          </w:tcPr>
          <w:p>
            <w:pPr>
              <w:spacing w:before="58" w:line="186" w:lineRule="auto"/>
              <w:ind w:left="7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3"/>
                <w:sz w:val="15"/>
                <w:szCs w:val="15"/>
                <w:highlight w:val="none"/>
              </w:rPr>
              <w:t>中央主管部门</w:t>
            </w:r>
          </w:p>
        </w:tc>
        <w:tc>
          <w:tcPr>
            <w:tcW w:w="3052" w:type="dxa"/>
            <w:gridSpan w:val="2"/>
            <w:vAlign w:val="top"/>
          </w:tcPr>
          <w:p>
            <w:pPr>
              <w:spacing w:before="57" w:line="187" w:lineRule="auto"/>
              <w:ind w:left="38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财政部、农业农村部</w:t>
            </w:r>
          </w:p>
        </w:tc>
        <w:tc>
          <w:tcPr>
            <w:tcW w:w="1409" w:type="dxa"/>
            <w:vAlign w:val="top"/>
          </w:tcPr>
          <w:p>
            <w:pPr>
              <w:spacing w:before="40" w:line="193" w:lineRule="auto"/>
              <w:ind w:left="4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合计</w:t>
            </w:r>
          </w:p>
        </w:tc>
        <w:tc>
          <w:tcPr>
            <w:tcW w:w="910" w:type="dxa"/>
            <w:vAlign w:val="top"/>
          </w:tcPr>
          <w:p>
            <w:pPr>
              <w:spacing w:before="57" w:line="187" w:lineRule="auto"/>
              <w:ind w:left="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7"/>
                <w:sz w:val="15"/>
                <w:szCs w:val="15"/>
                <w:highlight w:val="none"/>
              </w:rPr>
              <w:t>伊犁州</w:t>
            </w:r>
          </w:p>
        </w:tc>
        <w:tc>
          <w:tcPr>
            <w:tcW w:w="899" w:type="dxa"/>
            <w:vAlign w:val="top"/>
          </w:tcPr>
          <w:p>
            <w:pPr>
              <w:spacing w:before="58" w:line="186" w:lineRule="auto"/>
              <w:ind w:left="2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4"/>
                <w:sz w:val="15"/>
                <w:szCs w:val="15"/>
                <w:highlight w:val="none"/>
              </w:rPr>
              <w:t>塔城地区</w:t>
            </w:r>
          </w:p>
        </w:tc>
        <w:tc>
          <w:tcPr>
            <w:tcW w:w="910" w:type="dxa"/>
            <w:vAlign w:val="top"/>
          </w:tcPr>
          <w:p>
            <w:pPr>
              <w:spacing w:before="17" w:line="213" w:lineRule="auto"/>
              <w:ind w:left="2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博州</w:t>
            </w:r>
          </w:p>
        </w:tc>
        <w:tc>
          <w:tcPr>
            <w:tcW w:w="919" w:type="dxa"/>
            <w:vAlign w:val="top"/>
          </w:tcPr>
          <w:p>
            <w:pPr>
              <w:spacing w:before="17" w:line="213" w:lineRule="auto"/>
              <w:ind w:left="1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昌吉州</w:t>
            </w:r>
          </w:p>
        </w:tc>
        <w:tc>
          <w:tcPr>
            <w:tcW w:w="2018" w:type="dxa"/>
            <w:gridSpan w:val="2"/>
            <w:vAlign w:val="top"/>
          </w:tcPr>
          <w:p>
            <w:pPr>
              <w:spacing w:before="18" w:line="214" w:lineRule="auto"/>
              <w:ind w:left="24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position w:val="1"/>
                <w:sz w:val="15"/>
                <w:szCs w:val="15"/>
                <w:highlight w:val="none"/>
              </w:rPr>
              <w:t>巴</w:t>
            </w:r>
            <w:r>
              <w:rPr>
                <w:rFonts w:hint="default" w:ascii="Times New Roman" w:hAnsi="Times New Roman" w:eastAsia="宋体" w:cs="Times New Roman"/>
                <w:spacing w:val="-32"/>
                <w:position w:val="1"/>
                <w:sz w:val="15"/>
                <w:szCs w:val="15"/>
                <w:highlight w:val="none"/>
              </w:rPr>
              <w:t xml:space="preserve"> </w:t>
            </w:r>
            <w:r>
              <w:rPr>
                <w:rFonts w:hint="default" w:ascii="Times New Roman" w:hAnsi="Times New Roman" w:eastAsia="宋体" w:cs="Times New Roman"/>
                <w:spacing w:val="4"/>
                <w:position w:val="1"/>
                <w:sz w:val="15"/>
                <w:szCs w:val="15"/>
                <w:highlight w:val="none"/>
              </w:rPr>
              <w:t>州</w:t>
            </w:r>
            <w:r>
              <w:rPr>
                <w:rFonts w:hint="default" w:ascii="Times New Roman" w:hAnsi="Times New Roman" w:eastAsia="宋体" w:cs="Times New Roman"/>
                <w:spacing w:val="32"/>
                <w:position w:val="1"/>
                <w:sz w:val="15"/>
                <w:szCs w:val="15"/>
                <w:highlight w:val="none"/>
              </w:rPr>
              <w:t xml:space="preserve">  </w:t>
            </w:r>
            <w:r>
              <w:rPr>
                <w:rFonts w:hint="default" w:ascii="Times New Roman" w:hAnsi="Times New Roman" w:eastAsia="宋体" w:cs="Times New Roman"/>
                <w:spacing w:val="4"/>
                <w:sz w:val="15"/>
                <w:szCs w:val="15"/>
                <w:highlight w:val="none"/>
              </w:rPr>
              <w:t>阿克苏地区</w:t>
            </w:r>
          </w:p>
        </w:tc>
        <w:tc>
          <w:tcPr>
            <w:tcW w:w="920" w:type="dxa"/>
            <w:vAlign w:val="top"/>
          </w:tcPr>
          <w:p>
            <w:pPr>
              <w:spacing w:before="27" w:line="204" w:lineRule="auto"/>
              <w:ind w:left="24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克州</w:t>
            </w:r>
          </w:p>
        </w:tc>
        <w:tc>
          <w:tcPr>
            <w:tcW w:w="1049" w:type="dxa"/>
            <w:vAlign w:val="top"/>
          </w:tcPr>
          <w:p>
            <w:pPr>
              <w:spacing w:before="38" w:line="195" w:lineRule="auto"/>
              <w:ind w:left="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喀什地区</w:t>
            </w:r>
          </w:p>
        </w:tc>
        <w:tc>
          <w:tcPr>
            <w:tcW w:w="1194" w:type="dxa"/>
            <w:vAlign w:val="top"/>
          </w:tcPr>
          <w:p>
            <w:pPr>
              <w:spacing w:before="61" w:line="193"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4"/>
                <w:sz w:val="15"/>
                <w:szCs w:val="15"/>
                <w:highlight w:val="none"/>
              </w:rPr>
              <w:t>和田地区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479" w:type="dxa"/>
            <w:gridSpan w:val="2"/>
            <w:vAlign w:val="top"/>
          </w:tcPr>
          <w:p>
            <w:pPr>
              <w:spacing w:before="118" w:line="219" w:lineRule="auto"/>
              <w:ind w:left="7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省级财政部门</w:t>
            </w:r>
          </w:p>
        </w:tc>
        <w:tc>
          <w:tcPr>
            <w:tcW w:w="3052" w:type="dxa"/>
            <w:gridSpan w:val="2"/>
            <w:vAlign w:val="top"/>
          </w:tcPr>
          <w:p>
            <w:pPr>
              <w:spacing w:before="119" w:line="220" w:lineRule="auto"/>
              <w:ind w:left="171" w:firstLine="148" w:firstLineChars="10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新疆维吾尔自治区财政厅</w:t>
            </w:r>
          </w:p>
        </w:tc>
        <w:tc>
          <w:tcPr>
            <w:tcW w:w="10228" w:type="dxa"/>
            <w:gridSpan w:val="10"/>
            <w:vMerge w:val="restart"/>
            <w:tcBorders>
              <w:bottom w:val="nil"/>
            </w:tcBorders>
            <w:vAlign w:val="top"/>
          </w:tcPr>
          <w:p>
            <w:pPr>
              <w:spacing w:line="376" w:lineRule="auto"/>
              <w:rPr>
                <w:rFonts w:hint="default" w:ascii="Times New Roman" w:hAnsi="Times New Roman" w:cs="Times New Roman"/>
                <w:sz w:val="15"/>
                <w:szCs w:val="15"/>
                <w:highlight w:val="none"/>
              </w:rPr>
            </w:pPr>
          </w:p>
          <w:p>
            <w:pPr>
              <w:spacing w:before="68" w:line="219" w:lineRule="auto"/>
              <w:ind w:left="374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各地州市财政局、农业农村局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2479" w:type="dxa"/>
            <w:gridSpan w:val="2"/>
            <w:vAlign w:val="top"/>
          </w:tcPr>
          <w:p>
            <w:pPr>
              <w:spacing w:before="228" w:line="219" w:lineRule="auto"/>
              <w:ind w:left="7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省级主管部门</w:t>
            </w:r>
          </w:p>
        </w:tc>
        <w:tc>
          <w:tcPr>
            <w:tcW w:w="3052" w:type="dxa"/>
            <w:gridSpan w:val="2"/>
            <w:vAlign w:val="center"/>
          </w:tcPr>
          <w:p>
            <w:pPr>
              <w:spacing w:before="117" w:line="228" w:lineRule="auto"/>
              <w:ind w:left="1221" w:right="85" w:hanging="1150"/>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新疆维吾尔自治区农业农村</w:t>
            </w:r>
            <w:r>
              <w:rPr>
                <w:rFonts w:hint="default" w:ascii="Times New Roman" w:hAnsi="Times New Roman" w:eastAsia="宋体" w:cs="Times New Roman"/>
                <w:sz w:val="15"/>
                <w:szCs w:val="15"/>
                <w:highlight w:val="none"/>
              </w:rPr>
              <w:t>厅</w:t>
            </w:r>
          </w:p>
        </w:tc>
        <w:tc>
          <w:tcPr>
            <w:tcW w:w="10228" w:type="dxa"/>
            <w:gridSpan w:val="10"/>
            <w:vMerge w:val="continue"/>
            <w:tcBorders>
              <w:top w:val="nil"/>
            </w:tcBorders>
            <w:vAlign w:val="top"/>
          </w:tcPr>
          <w:p>
            <w:pPr>
              <w:rPr>
                <w:rFonts w:hint="default" w:ascii="Times New Roman" w:hAnsi="Times New Roman" w:cs="Times New Roman"/>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23" w:type="dxa"/>
            <w:vMerge w:val="restart"/>
            <w:tcBorders>
              <w:bottom w:val="nil"/>
            </w:tcBorders>
            <w:vAlign w:val="top"/>
          </w:tcPr>
          <w:p>
            <w:pPr>
              <w:spacing w:line="399" w:lineRule="auto"/>
              <w:rPr>
                <w:rFonts w:hint="default" w:ascii="Times New Roman" w:hAnsi="Times New Roman" w:cs="Times New Roman"/>
                <w:sz w:val="15"/>
                <w:szCs w:val="15"/>
                <w:highlight w:val="none"/>
              </w:rPr>
            </w:pPr>
          </w:p>
          <w:p>
            <w:pPr>
              <w:spacing w:before="68" w:line="220"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资金情况</w:t>
            </w:r>
            <w:r>
              <w:rPr>
                <w:rFonts w:hint="default" w:ascii="Times New Roman" w:hAnsi="Times New Roman" w:eastAsia="宋体" w:cs="Times New Roman"/>
                <w:spacing w:val="2"/>
                <w:sz w:val="15"/>
                <w:szCs w:val="15"/>
                <w:highlight w:val="none"/>
                <w:lang w:eastAsia="zh-CN"/>
              </w:rPr>
              <w:t>（</w:t>
            </w:r>
            <w:r>
              <w:rPr>
                <w:rFonts w:hint="default" w:ascii="Times New Roman" w:hAnsi="Times New Roman" w:eastAsia="宋体" w:cs="Times New Roman"/>
                <w:spacing w:val="11"/>
                <w:sz w:val="15"/>
                <w:szCs w:val="15"/>
                <w:highlight w:val="none"/>
              </w:rPr>
              <w:t>万元</w:t>
            </w:r>
            <w:r>
              <w:rPr>
                <w:rFonts w:hint="default" w:ascii="Times New Roman" w:hAnsi="Times New Roman" w:eastAsia="宋体" w:cs="Times New Roman"/>
                <w:spacing w:val="11"/>
                <w:sz w:val="15"/>
                <w:szCs w:val="15"/>
                <w:highlight w:val="none"/>
                <w:lang w:eastAsia="zh-CN"/>
              </w:rPr>
              <w:t>）</w:t>
            </w:r>
          </w:p>
        </w:tc>
        <w:tc>
          <w:tcPr>
            <w:tcW w:w="1356" w:type="dxa"/>
            <w:vAlign w:val="top"/>
          </w:tcPr>
          <w:p>
            <w:pPr>
              <w:spacing w:before="109" w:line="219" w:lineRule="auto"/>
              <w:ind w:left="35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1"/>
                <w:sz w:val="15"/>
                <w:szCs w:val="15"/>
                <w:highlight w:val="none"/>
              </w:rPr>
              <w:t>年度金额：</w:t>
            </w:r>
          </w:p>
        </w:tc>
        <w:tc>
          <w:tcPr>
            <w:tcW w:w="3052" w:type="dxa"/>
            <w:gridSpan w:val="2"/>
            <w:vAlign w:val="top"/>
          </w:tcPr>
          <w:p>
            <w:pPr>
              <w:spacing w:before="162" w:line="184" w:lineRule="auto"/>
              <w:ind w:left="10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1409" w:type="dxa"/>
            <w:vAlign w:val="top"/>
          </w:tcPr>
          <w:p>
            <w:pPr>
              <w:spacing w:before="162" w:line="184" w:lineRule="auto"/>
              <w:ind w:left="43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910" w:type="dxa"/>
            <w:vAlign w:val="top"/>
          </w:tcPr>
          <w:p>
            <w:pPr>
              <w:spacing w:before="162" w:line="184" w:lineRule="auto"/>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1848</w:t>
            </w:r>
          </w:p>
        </w:tc>
        <w:tc>
          <w:tcPr>
            <w:tcW w:w="899" w:type="dxa"/>
            <w:vAlign w:val="top"/>
          </w:tcPr>
          <w:p>
            <w:pPr>
              <w:spacing w:before="162" w:line="184" w:lineRule="auto"/>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1037</w:t>
            </w:r>
          </w:p>
        </w:tc>
        <w:tc>
          <w:tcPr>
            <w:tcW w:w="910" w:type="dxa"/>
            <w:vAlign w:val="top"/>
          </w:tcPr>
          <w:p>
            <w:pPr>
              <w:spacing w:before="162" w:line="184" w:lineRule="auto"/>
              <w:ind w:left="3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136</w:t>
            </w:r>
          </w:p>
        </w:tc>
        <w:tc>
          <w:tcPr>
            <w:tcW w:w="919" w:type="dxa"/>
            <w:vAlign w:val="top"/>
          </w:tcPr>
          <w:p>
            <w:pPr>
              <w:spacing w:before="163" w:line="183" w:lineRule="auto"/>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2907</w:t>
            </w:r>
          </w:p>
        </w:tc>
        <w:tc>
          <w:tcPr>
            <w:tcW w:w="909" w:type="dxa"/>
            <w:vAlign w:val="top"/>
          </w:tcPr>
          <w:p>
            <w:pPr>
              <w:spacing w:before="163"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459</w:t>
            </w:r>
          </w:p>
        </w:tc>
        <w:tc>
          <w:tcPr>
            <w:tcW w:w="1109" w:type="dxa"/>
            <w:vAlign w:val="top"/>
          </w:tcPr>
          <w:p>
            <w:pPr>
              <w:spacing w:before="163" w:line="183" w:lineRule="auto"/>
              <w:ind w:left="33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4675</w:t>
            </w:r>
          </w:p>
        </w:tc>
        <w:tc>
          <w:tcPr>
            <w:tcW w:w="920" w:type="dxa"/>
            <w:vAlign w:val="top"/>
          </w:tcPr>
          <w:p>
            <w:pPr>
              <w:spacing w:before="163" w:line="183" w:lineRule="auto"/>
              <w:ind w:left="2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629</w:t>
            </w:r>
          </w:p>
        </w:tc>
        <w:tc>
          <w:tcPr>
            <w:tcW w:w="1049" w:type="dxa"/>
            <w:vAlign w:val="top"/>
          </w:tcPr>
          <w:p>
            <w:pPr>
              <w:spacing w:before="163" w:line="183" w:lineRule="auto"/>
              <w:ind w:left="30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5967</w:t>
            </w:r>
          </w:p>
        </w:tc>
        <w:tc>
          <w:tcPr>
            <w:tcW w:w="1194" w:type="dxa"/>
            <w:vAlign w:val="top"/>
          </w:tcPr>
          <w:p>
            <w:pPr>
              <w:spacing w:before="162" w:line="184"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Align w:val="top"/>
          </w:tcPr>
          <w:p>
            <w:pPr>
              <w:spacing w:before="120" w:line="220" w:lineRule="auto"/>
              <w:ind w:left="14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其中：中央补助</w:t>
            </w:r>
          </w:p>
        </w:tc>
        <w:tc>
          <w:tcPr>
            <w:tcW w:w="3052" w:type="dxa"/>
            <w:gridSpan w:val="2"/>
            <w:vAlign w:val="top"/>
          </w:tcPr>
          <w:p>
            <w:pPr>
              <w:spacing w:before="172" w:line="184" w:lineRule="auto"/>
              <w:ind w:left="1061"/>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1409" w:type="dxa"/>
            <w:vAlign w:val="top"/>
          </w:tcPr>
          <w:p>
            <w:pPr>
              <w:spacing w:before="172" w:line="184" w:lineRule="auto"/>
              <w:ind w:left="43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910" w:type="dxa"/>
            <w:vAlign w:val="top"/>
          </w:tcPr>
          <w:p>
            <w:pPr>
              <w:spacing w:before="172" w:line="184" w:lineRule="auto"/>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1848</w:t>
            </w:r>
          </w:p>
        </w:tc>
        <w:tc>
          <w:tcPr>
            <w:tcW w:w="899" w:type="dxa"/>
            <w:vAlign w:val="top"/>
          </w:tcPr>
          <w:p>
            <w:pPr>
              <w:spacing w:before="172" w:line="184" w:lineRule="auto"/>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1037</w:t>
            </w:r>
          </w:p>
        </w:tc>
        <w:tc>
          <w:tcPr>
            <w:tcW w:w="910" w:type="dxa"/>
            <w:vAlign w:val="top"/>
          </w:tcPr>
          <w:p>
            <w:pPr>
              <w:spacing w:before="172" w:line="184" w:lineRule="auto"/>
              <w:ind w:left="3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136</w:t>
            </w:r>
          </w:p>
        </w:tc>
        <w:tc>
          <w:tcPr>
            <w:tcW w:w="919" w:type="dxa"/>
            <w:vAlign w:val="top"/>
          </w:tcPr>
          <w:p>
            <w:pPr>
              <w:spacing w:before="173" w:line="183" w:lineRule="auto"/>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2907</w:t>
            </w:r>
          </w:p>
        </w:tc>
        <w:tc>
          <w:tcPr>
            <w:tcW w:w="909" w:type="dxa"/>
            <w:vAlign w:val="top"/>
          </w:tcPr>
          <w:p>
            <w:pPr>
              <w:spacing w:before="173"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459</w:t>
            </w:r>
          </w:p>
        </w:tc>
        <w:tc>
          <w:tcPr>
            <w:tcW w:w="1109" w:type="dxa"/>
            <w:vAlign w:val="top"/>
          </w:tcPr>
          <w:p>
            <w:pPr>
              <w:spacing w:before="173" w:line="183" w:lineRule="auto"/>
              <w:ind w:left="33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4675</w:t>
            </w:r>
          </w:p>
        </w:tc>
        <w:tc>
          <w:tcPr>
            <w:tcW w:w="920" w:type="dxa"/>
            <w:vAlign w:val="top"/>
          </w:tcPr>
          <w:p>
            <w:pPr>
              <w:spacing w:before="173" w:line="183" w:lineRule="auto"/>
              <w:ind w:left="2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629</w:t>
            </w:r>
          </w:p>
        </w:tc>
        <w:tc>
          <w:tcPr>
            <w:tcW w:w="1049" w:type="dxa"/>
            <w:vAlign w:val="top"/>
          </w:tcPr>
          <w:p>
            <w:pPr>
              <w:spacing w:before="173" w:line="183" w:lineRule="auto"/>
              <w:ind w:left="30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5967</w:t>
            </w:r>
          </w:p>
        </w:tc>
        <w:tc>
          <w:tcPr>
            <w:tcW w:w="1194" w:type="dxa"/>
            <w:vAlign w:val="top"/>
          </w:tcPr>
          <w:p>
            <w:pPr>
              <w:spacing w:before="172" w:line="184"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1123" w:type="dxa"/>
            <w:vMerge w:val="continue"/>
            <w:tcBorders>
              <w:top w:val="nil"/>
            </w:tcBorders>
            <w:vAlign w:val="top"/>
          </w:tcPr>
          <w:p>
            <w:pPr>
              <w:rPr>
                <w:rFonts w:hint="default" w:ascii="Times New Roman" w:hAnsi="Times New Roman" w:cs="Times New Roman"/>
                <w:sz w:val="15"/>
                <w:szCs w:val="15"/>
                <w:highlight w:val="none"/>
              </w:rPr>
            </w:pPr>
          </w:p>
        </w:tc>
        <w:tc>
          <w:tcPr>
            <w:tcW w:w="1356" w:type="dxa"/>
            <w:vAlign w:val="top"/>
          </w:tcPr>
          <w:p>
            <w:pPr>
              <w:spacing w:before="140" w:line="221" w:lineRule="auto"/>
              <w:ind w:left="46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地方资金</w:t>
            </w:r>
          </w:p>
        </w:tc>
        <w:tc>
          <w:tcPr>
            <w:tcW w:w="3052" w:type="dxa"/>
            <w:gridSpan w:val="2"/>
            <w:vAlign w:val="top"/>
          </w:tcPr>
          <w:p>
            <w:pPr>
              <w:spacing w:before="193" w:line="183" w:lineRule="auto"/>
              <w:ind w:left="1271"/>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1409" w:type="dxa"/>
            <w:vAlign w:val="top"/>
          </w:tcPr>
          <w:p>
            <w:pPr>
              <w:spacing w:before="193" w:line="183" w:lineRule="auto"/>
              <w:ind w:left="64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10" w:type="dxa"/>
            <w:vAlign w:val="top"/>
          </w:tcPr>
          <w:p>
            <w:pPr>
              <w:spacing w:before="193" w:line="183"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899" w:type="dxa"/>
            <w:vAlign w:val="top"/>
          </w:tcPr>
          <w:p>
            <w:pPr>
              <w:spacing w:before="193" w:line="183" w:lineRule="auto"/>
              <w:ind w:left="38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10" w:type="dxa"/>
            <w:vAlign w:val="top"/>
          </w:tcPr>
          <w:p>
            <w:pPr>
              <w:spacing w:before="193" w:line="183" w:lineRule="auto"/>
              <w:ind w:left="53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19" w:type="dxa"/>
            <w:vAlign w:val="top"/>
          </w:tcPr>
          <w:p>
            <w:pPr>
              <w:spacing w:before="193" w:line="183" w:lineRule="auto"/>
              <w:ind w:left="39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09" w:type="dxa"/>
            <w:vAlign w:val="top"/>
          </w:tcPr>
          <w:p>
            <w:pPr>
              <w:spacing w:before="193" w:line="183" w:lineRule="auto"/>
              <w:ind w:left="39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1109" w:type="dxa"/>
            <w:vAlign w:val="top"/>
          </w:tcPr>
          <w:p>
            <w:pPr>
              <w:spacing w:before="193" w:line="183" w:lineRule="auto"/>
              <w:ind w:left="49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920" w:type="dxa"/>
            <w:vAlign w:val="top"/>
          </w:tcPr>
          <w:p>
            <w:pPr>
              <w:spacing w:before="193" w:line="183" w:lineRule="auto"/>
              <w:ind w:left="39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1049" w:type="dxa"/>
            <w:vAlign w:val="top"/>
          </w:tcPr>
          <w:p>
            <w:pPr>
              <w:spacing w:before="193" w:line="183" w:lineRule="auto"/>
              <w:ind w:left="46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c>
          <w:tcPr>
            <w:tcW w:w="1194" w:type="dxa"/>
            <w:vAlign w:val="top"/>
          </w:tcPr>
          <w:p>
            <w:pPr>
              <w:spacing w:before="193" w:line="183" w:lineRule="auto"/>
              <w:ind w:left="53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23" w:type="dxa"/>
            <w:vAlign w:val="top"/>
          </w:tcPr>
          <w:p>
            <w:pPr>
              <w:spacing w:before="49" w:line="194" w:lineRule="auto"/>
              <w:ind w:left="10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年度目标</w:t>
            </w:r>
          </w:p>
        </w:tc>
        <w:tc>
          <w:tcPr>
            <w:tcW w:w="4408" w:type="dxa"/>
            <w:gridSpan w:val="3"/>
            <w:vAlign w:val="top"/>
          </w:tcPr>
          <w:p>
            <w:pPr>
              <w:spacing w:before="28" w:line="212"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保障农民等生产主体种粮收益。</w:t>
            </w:r>
          </w:p>
        </w:tc>
        <w:tc>
          <w:tcPr>
            <w:tcW w:w="1409" w:type="dxa"/>
            <w:vAlign w:val="top"/>
          </w:tcPr>
          <w:p>
            <w:pPr>
              <w:spacing w:before="80" w:line="194" w:lineRule="auto"/>
              <w:ind w:left="59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10" w:type="dxa"/>
            <w:vAlign w:val="top"/>
          </w:tcPr>
          <w:p>
            <w:pPr>
              <w:spacing w:before="70" w:line="194" w:lineRule="auto"/>
              <w:ind w:left="50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899" w:type="dxa"/>
            <w:vAlign w:val="top"/>
          </w:tcPr>
          <w:p>
            <w:pPr>
              <w:spacing w:before="90" w:line="195" w:lineRule="auto"/>
              <w:ind w:left="33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10" w:type="dxa"/>
            <w:vAlign w:val="top"/>
          </w:tcPr>
          <w:p>
            <w:pPr>
              <w:spacing w:before="90" w:line="195" w:lineRule="auto"/>
              <w:ind w:left="43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19" w:type="dxa"/>
            <w:vAlign w:val="top"/>
          </w:tcPr>
          <w:p>
            <w:pPr>
              <w:spacing w:before="90" w:line="195" w:lineRule="auto"/>
              <w:ind w:left="34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09" w:type="dxa"/>
            <w:vAlign w:val="top"/>
          </w:tcPr>
          <w:p>
            <w:pPr>
              <w:spacing w:before="90" w:line="195" w:lineRule="auto"/>
              <w:ind w:left="34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1109" w:type="dxa"/>
            <w:vAlign w:val="top"/>
          </w:tcPr>
          <w:p>
            <w:pPr>
              <w:spacing w:before="90" w:line="195" w:lineRule="auto"/>
              <w:ind w:left="44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920" w:type="dxa"/>
            <w:vAlign w:val="top"/>
          </w:tcPr>
          <w:p>
            <w:pPr>
              <w:spacing w:before="90" w:line="195" w:lineRule="auto"/>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1049" w:type="dxa"/>
            <w:vAlign w:val="top"/>
          </w:tcPr>
          <w:p>
            <w:pPr>
              <w:spacing w:before="90" w:line="195" w:lineRule="auto"/>
              <w:ind w:left="41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c>
          <w:tcPr>
            <w:tcW w:w="1194" w:type="dxa"/>
            <w:vAlign w:val="top"/>
          </w:tcPr>
          <w:p>
            <w:pPr>
              <w:spacing w:before="90" w:line="195" w:lineRule="auto"/>
              <w:ind w:left="4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23" w:type="dxa"/>
            <w:vAlign w:val="top"/>
          </w:tcPr>
          <w:p>
            <w:pPr>
              <w:spacing w:line="220" w:lineRule="exact"/>
              <w:rPr>
                <w:rFonts w:hint="default" w:ascii="Times New Roman" w:hAnsi="Times New Roman" w:cs="Times New Roman"/>
                <w:sz w:val="15"/>
                <w:szCs w:val="15"/>
                <w:highlight w:val="none"/>
              </w:rPr>
            </w:pPr>
          </w:p>
        </w:tc>
        <w:tc>
          <w:tcPr>
            <w:tcW w:w="1356" w:type="dxa"/>
            <w:vAlign w:val="center"/>
          </w:tcPr>
          <w:p>
            <w:pPr>
              <w:spacing w:before="9" w:line="194"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一级指标</w:t>
            </w:r>
          </w:p>
        </w:tc>
        <w:tc>
          <w:tcPr>
            <w:tcW w:w="1236" w:type="dxa"/>
            <w:vAlign w:val="center"/>
          </w:tcPr>
          <w:p>
            <w:pPr>
              <w:spacing w:before="9" w:line="194"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二级指标</w:t>
            </w:r>
          </w:p>
        </w:tc>
        <w:tc>
          <w:tcPr>
            <w:tcW w:w="1816" w:type="dxa"/>
            <w:vAlign w:val="center"/>
          </w:tcPr>
          <w:p>
            <w:pPr>
              <w:spacing w:before="9" w:line="194"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7"/>
                <w:sz w:val="15"/>
                <w:szCs w:val="15"/>
                <w:highlight w:val="none"/>
              </w:rPr>
              <w:t>三级指标</w:t>
            </w:r>
          </w:p>
        </w:tc>
        <w:tc>
          <w:tcPr>
            <w:tcW w:w="1409" w:type="dxa"/>
            <w:vAlign w:val="top"/>
          </w:tcPr>
          <w:p>
            <w:pPr>
              <w:spacing w:line="220" w:lineRule="exact"/>
              <w:rPr>
                <w:rFonts w:hint="default" w:ascii="Times New Roman" w:hAnsi="Times New Roman" w:cs="Times New Roman"/>
                <w:sz w:val="15"/>
                <w:szCs w:val="15"/>
                <w:highlight w:val="none"/>
              </w:rPr>
            </w:pPr>
          </w:p>
        </w:tc>
        <w:tc>
          <w:tcPr>
            <w:tcW w:w="910"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1</w:t>
            </w:r>
          </w:p>
        </w:tc>
        <w:tc>
          <w:tcPr>
            <w:tcW w:w="89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2</w:t>
            </w:r>
          </w:p>
        </w:tc>
        <w:tc>
          <w:tcPr>
            <w:tcW w:w="910" w:type="dxa"/>
            <w:vAlign w:val="top"/>
          </w:tcPr>
          <w:p>
            <w:pPr>
              <w:spacing w:before="72" w:line="148" w:lineRule="exact"/>
              <w:ind w:left="374"/>
              <w:rPr>
                <w:rFonts w:hint="default" w:ascii="Times New Roman" w:hAnsi="Times New Roman" w:eastAsia="宋体" w:cs="Times New Roman"/>
                <w:position w:val="-3"/>
                <w:sz w:val="15"/>
                <w:szCs w:val="15"/>
                <w:highlight w:val="none"/>
                <w:lang w:eastAsia="zh-CN"/>
              </w:rPr>
            </w:pPr>
            <w:r>
              <w:rPr>
                <w:rFonts w:hint="default" w:ascii="Times New Roman" w:hAnsi="Times New Roman" w:eastAsia="宋体" w:cs="Times New Roman"/>
                <w:position w:val="-3"/>
                <w:sz w:val="15"/>
                <w:szCs w:val="15"/>
                <w:highlight w:val="none"/>
                <w:lang w:val="en-US" w:eastAsia="zh-CN"/>
              </w:rPr>
              <w:t>3</w:t>
            </w:r>
          </w:p>
        </w:tc>
        <w:tc>
          <w:tcPr>
            <w:tcW w:w="91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4</w:t>
            </w:r>
          </w:p>
        </w:tc>
        <w:tc>
          <w:tcPr>
            <w:tcW w:w="90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5</w:t>
            </w:r>
          </w:p>
        </w:tc>
        <w:tc>
          <w:tcPr>
            <w:tcW w:w="110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6</w:t>
            </w:r>
          </w:p>
        </w:tc>
        <w:tc>
          <w:tcPr>
            <w:tcW w:w="920"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7</w:t>
            </w:r>
          </w:p>
        </w:tc>
        <w:tc>
          <w:tcPr>
            <w:tcW w:w="1049"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8</w:t>
            </w:r>
          </w:p>
        </w:tc>
        <w:tc>
          <w:tcPr>
            <w:tcW w:w="1194" w:type="dxa"/>
            <w:vAlign w:val="top"/>
          </w:tcPr>
          <w:p>
            <w:pPr>
              <w:spacing w:before="72" w:line="148" w:lineRule="exact"/>
              <w:ind w:left="374"/>
              <w:rPr>
                <w:rFonts w:hint="default" w:ascii="Times New Roman" w:hAnsi="Times New Roman" w:eastAsia="宋体" w:cs="Times New Roman"/>
                <w:position w:val="-3"/>
                <w:sz w:val="15"/>
                <w:szCs w:val="15"/>
                <w:highlight w:val="none"/>
              </w:rPr>
            </w:pPr>
            <w:r>
              <w:rPr>
                <w:rFonts w:hint="default" w:ascii="Times New Roman" w:hAnsi="Times New Roman" w:eastAsia="宋体" w:cs="Times New Roman"/>
                <w:position w:val="-3"/>
                <w:sz w:val="15"/>
                <w:szCs w:val="15"/>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123" w:type="dxa"/>
            <w:vMerge w:val="restart"/>
            <w:tcBorders>
              <w:bottom w:val="nil"/>
            </w:tcBorders>
            <w:vAlign w:val="top"/>
          </w:tcPr>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1" w:lineRule="auto"/>
              <w:rPr>
                <w:rFonts w:hint="default" w:ascii="Times New Roman" w:hAnsi="Times New Roman" w:cs="Times New Roman"/>
                <w:sz w:val="15"/>
                <w:szCs w:val="15"/>
                <w:highlight w:val="none"/>
              </w:rPr>
            </w:pPr>
          </w:p>
          <w:p>
            <w:pPr>
              <w:spacing w:line="242" w:lineRule="auto"/>
              <w:rPr>
                <w:rFonts w:hint="default" w:ascii="Times New Roman" w:hAnsi="Times New Roman" w:cs="Times New Roman"/>
                <w:sz w:val="15"/>
                <w:szCs w:val="15"/>
                <w:highlight w:val="none"/>
              </w:rPr>
            </w:pPr>
          </w:p>
          <w:p>
            <w:pPr>
              <w:spacing w:line="242" w:lineRule="auto"/>
              <w:rPr>
                <w:rFonts w:hint="default" w:ascii="Times New Roman" w:hAnsi="Times New Roman" w:cs="Times New Roman"/>
                <w:sz w:val="15"/>
                <w:szCs w:val="15"/>
                <w:highlight w:val="none"/>
              </w:rPr>
            </w:pPr>
          </w:p>
          <w:p>
            <w:pPr>
              <w:spacing w:line="242" w:lineRule="auto"/>
              <w:rPr>
                <w:rFonts w:hint="default" w:ascii="Times New Roman" w:hAnsi="Times New Roman" w:cs="Times New Roman"/>
                <w:sz w:val="15"/>
                <w:szCs w:val="15"/>
                <w:highlight w:val="none"/>
              </w:rPr>
            </w:pPr>
          </w:p>
          <w:p>
            <w:pPr>
              <w:spacing w:line="242" w:lineRule="auto"/>
              <w:rPr>
                <w:rFonts w:hint="default" w:ascii="Times New Roman" w:hAnsi="Times New Roman" w:cs="Times New Roman"/>
                <w:sz w:val="15"/>
                <w:szCs w:val="15"/>
                <w:highlight w:val="none"/>
              </w:rPr>
            </w:pPr>
          </w:p>
          <w:p>
            <w:pPr>
              <w:spacing w:before="68" w:line="220" w:lineRule="auto"/>
              <w:ind w:left="104" w:firstLine="144" w:firstLineChars="10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绩效指标</w:t>
            </w:r>
          </w:p>
        </w:tc>
        <w:tc>
          <w:tcPr>
            <w:tcW w:w="1356" w:type="dxa"/>
            <w:vMerge w:val="restart"/>
            <w:tcBorders>
              <w:bottom w:val="nil"/>
            </w:tcBorders>
            <w:vAlign w:val="top"/>
          </w:tcPr>
          <w:p>
            <w:pPr>
              <w:spacing w:line="286" w:lineRule="auto"/>
              <w:rPr>
                <w:rFonts w:hint="default" w:ascii="Times New Roman" w:hAnsi="Times New Roman" w:cs="Times New Roman"/>
                <w:sz w:val="15"/>
                <w:szCs w:val="15"/>
                <w:highlight w:val="none"/>
              </w:rPr>
            </w:pPr>
          </w:p>
          <w:p>
            <w:pPr>
              <w:spacing w:line="286" w:lineRule="auto"/>
              <w:rPr>
                <w:rFonts w:hint="default" w:ascii="Times New Roman" w:hAnsi="Times New Roman" w:cs="Times New Roman"/>
                <w:sz w:val="15"/>
                <w:szCs w:val="15"/>
                <w:highlight w:val="none"/>
              </w:rPr>
            </w:pPr>
          </w:p>
          <w:p>
            <w:pPr>
              <w:spacing w:line="286" w:lineRule="auto"/>
              <w:rPr>
                <w:rFonts w:hint="default" w:ascii="Times New Roman" w:hAnsi="Times New Roman" w:cs="Times New Roman"/>
                <w:sz w:val="15"/>
                <w:szCs w:val="15"/>
                <w:highlight w:val="none"/>
              </w:rPr>
            </w:pPr>
          </w:p>
          <w:p>
            <w:pPr>
              <w:spacing w:line="286" w:lineRule="auto"/>
              <w:rPr>
                <w:rFonts w:hint="default" w:ascii="Times New Roman" w:hAnsi="Times New Roman" w:cs="Times New Roman"/>
                <w:sz w:val="15"/>
                <w:szCs w:val="15"/>
                <w:highlight w:val="none"/>
              </w:rPr>
            </w:pPr>
          </w:p>
          <w:p>
            <w:pPr>
              <w:spacing w:before="68" w:line="219" w:lineRule="auto"/>
              <w:ind w:left="46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产出指标</w:t>
            </w:r>
          </w:p>
        </w:tc>
        <w:tc>
          <w:tcPr>
            <w:tcW w:w="1236" w:type="dxa"/>
            <w:vMerge w:val="restart"/>
            <w:tcBorders>
              <w:bottom w:val="nil"/>
            </w:tcBorders>
            <w:vAlign w:val="center"/>
          </w:tcPr>
          <w:p>
            <w:pPr>
              <w:spacing w:before="69"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数量指标</w:t>
            </w:r>
          </w:p>
        </w:tc>
        <w:tc>
          <w:tcPr>
            <w:tcW w:w="1816" w:type="dxa"/>
            <w:vAlign w:val="top"/>
          </w:tcPr>
          <w:p>
            <w:pPr>
              <w:spacing w:before="69" w:line="219"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补贴资金</w:t>
            </w:r>
            <w:r>
              <w:rPr>
                <w:rFonts w:hint="default" w:ascii="Times New Roman" w:hAnsi="Times New Roman" w:eastAsia="宋体" w:cs="Times New Roman"/>
                <w:spacing w:val="-2"/>
                <w:sz w:val="15"/>
                <w:szCs w:val="15"/>
                <w:highlight w:val="none"/>
                <w:lang w:eastAsia="zh-CN"/>
              </w:rPr>
              <w:t>（</w:t>
            </w:r>
            <w:r>
              <w:rPr>
                <w:rFonts w:hint="default" w:ascii="Times New Roman" w:hAnsi="Times New Roman" w:eastAsia="宋体" w:cs="Times New Roman"/>
                <w:spacing w:val="-2"/>
                <w:sz w:val="15"/>
                <w:szCs w:val="15"/>
                <w:highlight w:val="none"/>
              </w:rPr>
              <w:t>万</w:t>
            </w:r>
            <w:r>
              <w:rPr>
                <w:rFonts w:hint="default" w:ascii="Times New Roman" w:hAnsi="Times New Roman" w:eastAsia="宋体" w:cs="Times New Roman"/>
                <w:spacing w:val="5"/>
                <w:sz w:val="15"/>
                <w:szCs w:val="15"/>
                <w:highlight w:val="none"/>
              </w:rPr>
              <w:t>元</w:t>
            </w:r>
            <w:r>
              <w:rPr>
                <w:rFonts w:hint="default" w:ascii="Times New Roman" w:hAnsi="Times New Roman" w:eastAsia="宋体" w:cs="Times New Roman"/>
                <w:spacing w:val="-35"/>
                <w:sz w:val="15"/>
                <w:szCs w:val="15"/>
                <w:highlight w:val="none"/>
              </w:rPr>
              <w:t xml:space="preserve"> </w:t>
            </w:r>
            <w:r>
              <w:rPr>
                <w:rFonts w:hint="default" w:ascii="Times New Roman" w:hAnsi="Times New Roman" w:eastAsia="宋体" w:cs="Times New Roman"/>
                <w:spacing w:val="-35"/>
                <w:sz w:val="15"/>
                <w:szCs w:val="15"/>
                <w:highlight w:val="none"/>
                <w:lang w:eastAsia="zh-CN"/>
              </w:rPr>
              <w:t>）</w:t>
            </w:r>
          </w:p>
        </w:tc>
        <w:tc>
          <w:tcPr>
            <w:tcW w:w="1409" w:type="dxa"/>
            <w:vAlign w:val="top"/>
          </w:tcPr>
          <w:p>
            <w:pPr>
              <w:spacing w:before="212" w:line="184" w:lineRule="auto"/>
              <w:ind w:left="43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19868</w:t>
            </w:r>
          </w:p>
        </w:tc>
        <w:tc>
          <w:tcPr>
            <w:tcW w:w="910" w:type="dxa"/>
            <w:vAlign w:val="top"/>
          </w:tcPr>
          <w:p>
            <w:pPr>
              <w:spacing w:before="212" w:line="184" w:lineRule="auto"/>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1848</w:t>
            </w:r>
          </w:p>
        </w:tc>
        <w:tc>
          <w:tcPr>
            <w:tcW w:w="899" w:type="dxa"/>
            <w:vAlign w:val="top"/>
          </w:tcPr>
          <w:p>
            <w:pPr>
              <w:spacing w:before="212" w:line="184" w:lineRule="auto"/>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5"/>
                <w:sz w:val="15"/>
                <w:szCs w:val="15"/>
                <w:highlight w:val="none"/>
              </w:rPr>
              <w:t>1037</w:t>
            </w:r>
          </w:p>
        </w:tc>
        <w:tc>
          <w:tcPr>
            <w:tcW w:w="910" w:type="dxa"/>
            <w:vAlign w:val="top"/>
          </w:tcPr>
          <w:p>
            <w:pPr>
              <w:spacing w:before="212" w:line="184" w:lineRule="auto"/>
              <w:ind w:left="3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136</w:t>
            </w:r>
          </w:p>
        </w:tc>
        <w:tc>
          <w:tcPr>
            <w:tcW w:w="919" w:type="dxa"/>
            <w:vAlign w:val="top"/>
          </w:tcPr>
          <w:p>
            <w:pPr>
              <w:spacing w:before="213" w:line="183" w:lineRule="auto"/>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2907</w:t>
            </w:r>
          </w:p>
        </w:tc>
        <w:tc>
          <w:tcPr>
            <w:tcW w:w="909" w:type="dxa"/>
            <w:vAlign w:val="top"/>
          </w:tcPr>
          <w:p>
            <w:pPr>
              <w:spacing w:before="213" w:line="183"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459</w:t>
            </w:r>
          </w:p>
        </w:tc>
        <w:tc>
          <w:tcPr>
            <w:tcW w:w="1109" w:type="dxa"/>
            <w:vAlign w:val="top"/>
          </w:tcPr>
          <w:p>
            <w:pPr>
              <w:spacing w:before="213" w:line="183" w:lineRule="auto"/>
              <w:ind w:left="33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4675</w:t>
            </w:r>
          </w:p>
        </w:tc>
        <w:tc>
          <w:tcPr>
            <w:tcW w:w="920" w:type="dxa"/>
            <w:vAlign w:val="top"/>
          </w:tcPr>
          <w:p>
            <w:pPr>
              <w:spacing w:before="213" w:line="183" w:lineRule="auto"/>
              <w:ind w:left="2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629</w:t>
            </w:r>
          </w:p>
        </w:tc>
        <w:tc>
          <w:tcPr>
            <w:tcW w:w="1049" w:type="dxa"/>
            <w:vAlign w:val="top"/>
          </w:tcPr>
          <w:p>
            <w:pPr>
              <w:spacing w:before="213" w:line="183" w:lineRule="auto"/>
              <w:ind w:left="30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5967</w:t>
            </w:r>
          </w:p>
        </w:tc>
        <w:tc>
          <w:tcPr>
            <w:tcW w:w="1194" w:type="dxa"/>
            <w:vAlign w:val="top"/>
          </w:tcPr>
          <w:p>
            <w:pPr>
              <w:spacing w:before="212" w:line="184"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236" w:type="dxa"/>
            <w:vMerge w:val="continue"/>
            <w:tcBorders>
              <w:top w:val="nil"/>
            </w:tcBorders>
            <w:vAlign w:val="center"/>
          </w:tcPr>
          <w:p>
            <w:pPr>
              <w:jc w:val="center"/>
              <w:rPr>
                <w:rFonts w:hint="default" w:ascii="Times New Roman" w:hAnsi="Times New Roman" w:cs="Times New Roman"/>
                <w:sz w:val="15"/>
                <w:szCs w:val="15"/>
                <w:highlight w:val="none"/>
              </w:rPr>
            </w:pPr>
          </w:p>
        </w:tc>
        <w:tc>
          <w:tcPr>
            <w:tcW w:w="1816" w:type="dxa"/>
            <w:vAlign w:val="top"/>
          </w:tcPr>
          <w:p>
            <w:pPr>
              <w:spacing w:before="59" w:line="219"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pacing w:val="3"/>
                <w:sz w:val="15"/>
                <w:szCs w:val="15"/>
                <w:highlight w:val="none"/>
              </w:rPr>
              <w:t>补贴面积</w:t>
            </w:r>
            <w:r>
              <w:rPr>
                <w:rFonts w:hint="default" w:ascii="Times New Roman" w:hAnsi="Times New Roman" w:eastAsia="宋体" w:cs="Times New Roman"/>
                <w:spacing w:val="3"/>
                <w:sz w:val="15"/>
                <w:szCs w:val="15"/>
                <w:highlight w:val="none"/>
                <w:lang w:eastAsia="zh-CN"/>
              </w:rPr>
              <w:t>（</w:t>
            </w:r>
            <w:r>
              <w:rPr>
                <w:rFonts w:hint="default" w:ascii="Times New Roman" w:hAnsi="Times New Roman" w:eastAsia="宋体" w:cs="Times New Roman"/>
                <w:spacing w:val="3"/>
                <w:sz w:val="15"/>
                <w:szCs w:val="15"/>
                <w:highlight w:val="none"/>
              </w:rPr>
              <w:t>万</w:t>
            </w:r>
            <w:r>
              <w:rPr>
                <w:rFonts w:hint="default" w:ascii="Times New Roman" w:hAnsi="Times New Roman" w:eastAsia="宋体" w:cs="Times New Roman"/>
                <w:spacing w:val="3"/>
                <w:sz w:val="15"/>
                <w:szCs w:val="15"/>
                <w:highlight w:val="none"/>
                <w:lang w:val="en-US" w:eastAsia="zh-CN"/>
              </w:rPr>
              <w:t>亩）</w:t>
            </w:r>
          </w:p>
        </w:tc>
        <w:tc>
          <w:tcPr>
            <w:tcW w:w="1409" w:type="dxa"/>
            <w:vAlign w:val="top"/>
          </w:tcPr>
          <w:p>
            <w:pPr>
              <w:spacing w:before="143" w:line="164" w:lineRule="auto"/>
              <w:ind w:left="3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1168.7</w:t>
            </w:r>
          </w:p>
        </w:tc>
        <w:tc>
          <w:tcPr>
            <w:tcW w:w="910" w:type="dxa"/>
            <w:vAlign w:val="top"/>
          </w:tcPr>
          <w:p>
            <w:pPr>
              <w:spacing w:before="112" w:line="184" w:lineRule="auto"/>
              <w:ind w:left="1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sz w:val="15"/>
                <w:szCs w:val="15"/>
                <w:highlight w:val="none"/>
              </w:rPr>
              <w:t>108.7</w:t>
            </w:r>
          </w:p>
        </w:tc>
        <w:tc>
          <w:tcPr>
            <w:tcW w:w="899" w:type="dxa"/>
            <w:vAlign w:val="top"/>
          </w:tcPr>
          <w:p>
            <w:pPr>
              <w:spacing w:before="112" w:line="184" w:lineRule="auto"/>
              <w:ind w:left="3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61</w:t>
            </w:r>
          </w:p>
        </w:tc>
        <w:tc>
          <w:tcPr>
            <w:tcW w:w="910" w:type="dxa"/>
            <w:vAlign w:val="top"/>
          </w:tcPr>
          <w:p>
            <w:pPr>
              <w:spacing w:before="134" w:line="172" w:lineRule="auto"/>
              <w:ind w:left="53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8</w:t>
            </w:r>
          </w:p>
        </w:tc>
        <w:tc>
          <w:tcPr>
            <w:tcW w:w="919" w:type="dxa"/>
            <w:vAlign w:val="top"/>
          </w:tcPr>
          <w:p>
            <w:pPr>
              <w:spacing w:before="163" w:line="167" w:lineRule="exact"/>
              <w:ind w:left="29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position w:val="-2"/>
                <w:sz w:val="15"/>
                <w:szCs w:val="15"/>
                <w:highlight w:val="none"/>
              </w:rPr>
              <w:t>171</w:t>
            </w:r>
          </w:p>
        </w:tc>
        <w:tc>
          <w:tcPr>
            <w:tcW w:w="909" w:type="dxa"/>
            <w:vAlign w:val="top"/>
          </w:tcPr>
          <w:p>
            <w:pPr>
              <w:spacing w:before="113" w:line="183" w:lineRule="auto"/>
              <w:ind w:left="34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27</w:t>
            </w:r>
          </w:p>
        </w:tc>
        <w:tc>
          <w:tcPr>
            <w:tcW w:w="1109" w:type="dxa"/>
            <w:vAlign w:val="top"/>
          </w:tcPr>
          <w:p>
            <w:pPr>
              <w:spacing w:before="143" w:line="164" w:lineRule="auto"/>
              <w:ind w:left="3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275</w:t>
            </w:r>
          </w:p>
        </w:tc>
        <w:tc>
          <w:tcPr>
            <w:tcW w:w="920" w:type="dxa"/>
            <w:vAlign w:val="top"/>
          </w:tcPr>
          <w:p>
            <w:pPr>
              <w:spacing w:before="163" w:line="167" w:lineRule="exact"/>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4"/>
                <w:position w:val="-2"/>
                <w:sz w:val="15"/>
                <w:szCs w:val="15"/>
                <w:highlight w:val="none"/>
              </w:rPr>
              <w:t>37</w:t>
            </w:r>
          </w:p>
        </w:tc>
        <w:tc>
          <w:tcPr>
            <w:tcW w:w="1049" w:type="dxa"/>
            <w:vAlign w:val="top"/>
          </w:tcPr>
          <w:p>
            <w:pPr>
              <w:spacing w:before="143" w:line="164" w:lineRule="auto"/>
              <w:ind w:left="35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351</w:t>
            </w:r>
          </w:p>
        </w:tc>
        <w:tc>
          <w:tcPr>
            <w:tcW w:w="1194" w:type="dxa"/>
            <w:vAlign w:val="top"/>
          </w:tcPr>
          <w:p>
            <w:pPr>
              <w:spacing w:before="143" w:line="164" w:lineRule="auto"/>
              <w:ind w:left="42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236" w:type="dxa"/>
            <w:vMerge w:val="restart"/>
            <w:tcBorders>
              <w:bottom w:val="nil"/>
            </w:tcBorders>
            <w:vAlign w:val="center"/>
          </w:tcPr>
          <w:p>
            <w:pPr>
              <w:spacing w:before="68" w:line="220"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质量指标</w:t>
            </w:r>
          </w:p>
        </w:tc>
        <w:tc>
          <w:tcPr>
            <w:tcW w:w="1816" w:type="dxa"/>
            <w:vAlign w:val="top"/>
          </w:tcPr>
          <w:p>
            <w:pPr>
              <w:spacing w:before="69" w:line="207" w:lineRule="auto"/>
              <w:ind w:right="7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保障粮食安全</w:t>
            </w:r>
            <w:r>
              <w:rPr>
                <w:rFonts w:hint="default" w:ascii="Times New Roman" w:hAnsi="Times New Roman" w:eastAsia="宋体" w:cs="Times New Roman"/>
                <w:spacing w:val="9"/>
                <w:sz w:val="15"/>
                <w:szCs w:val="15"/>
                <w:highlight w:val="none"/>
              </w:rPr>
              <w:t>能力</w:t>
            </w:r>
          </w:p>
        </w:tc>
        <w:tc>
          <w:tcPr>
            <w:tcW w:w="1409" w:type="dxa"/>
            <w:vAlign w:val="top"/>
          </w:tcPr>
          <w:p>
            <w:pPr>
              <w:spacing w:before="169" w:line="219"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10" w:type="dxa"/>
            <w:vAlign w:val="top"/>
          </w:tcPr>
          <w:p>
            <w:pPr>
              <w:spacing w:before="169" w:line="219" w:lineRule="auto"/>
              <w:ind w:left="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899" w:type="dxa"/>
            <w:vAlign w:val="top"/>
          </w:tcPr>
          <w:p>
            <w:pPr>
              <w:spacing w:before="169" w:line="219" w:lineRule="auto"/>
              <w:ind w:left="2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10" w:type="dxa"/>
            <w:vAlign w:val="top"/>
          </w:tcPr>
          <w:p>
            <w:pPr>
              <w:spacing w:before="168" w:line="229" w:lineRule="auto"/>
              <w:ind w:left="5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1"/>
                <w:sz w:val="15"/>
                <w:szCs w:val="15"/>
                <w:highlight w:val="none"/>
              </w:rPr>
              <w:t>明显提升</w:t>
            </w:r>
          </w:p>
        </w:tc>
        <w:tc>
          <w:tcPr>
            <w:tcW w:w="919" w:type="dxa"/>
            <w:vAlign w:val="top"/>
          </w:tcPr>
          <w:p>
            <w:pPr>
              <w:spacing w:before="169"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09" w:type="dxa"/>
            <w:vAlign w:val="top"/>
          </w:tcPr>
          <w:p>
            <w:pPr>
              <w:spacing w:before="169" w:line="219" w:lineRule="auto"/>
              <w:ind w:left="2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1109" w:type="dxa"/>
            <w:vAlign w:val="top"/>
          </w:tcPr>
          <w:p>
            <w:pPr>
              <w:spacing w:before="169" w:line="219"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920" w:type="dxa"/>
            <w:vAlign w:val="top"/>
          </w:tcPr>
          <w:p>
            <w:pPr>
              <w:spacing w:before="169" w:line="219" w:lineRule="auto"/>
              <w:ind w:left="3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1049" w:type="dxa"/>
            <w:vAlign w:val="top"/>
          </w:tcPr>
          <w:p>
            <w:pPr>
              <w:spacing w:before="169" w:line="219" w:lineRule="auto"/>
              <w:ind w:left="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c>
          <w:tcPr>
            <w:tcW w:w="1194" w:type="dxa"/>
            <w:vAlign w:val="top"/>
          </w:tcPr>
          <w:p>
            <w:pPr>
              <w:spacing w:before="169" w:line="219"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236" w:type="dxa"/>
            <w:vMerge w:val="continue"/>
            <w:tcBorders>
              <w:top w:val="nil"/>
            </w:tcBorders>
            <w:vAlign w:val="center"/>
          </w:tcPr>
          <w:p>
            <w:pPr>
              <w:jc w:val="center"/>
              <w:rPr>
                <w:rFonts w:hint="default" w:ascii="Times New Roman" w:hAnsi="Times New Roman" w:cs="Times New Roman"/>
                <w:sz w:val="15"/>
                <w:szCs w:val="15"/>
                <w:highlight w:val="none"/>
              </w:rPr>
            </w:pPr>
          </w:p>
        </w:tc>
        <w:tc>
          <w:tcPr>
            <w:tcW w:w="1816" w:type="dxa"/>
            <w:vAlign w:val="top"/>
          </w:tcPr>
          <w:p>
            <w:pPr>
              <w:spacing w:before="68" w:line="211" w:lineRule="auto"/>
              <w:ind w:right="7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补贴资金兑付</w:t>
            </w:r>
            <w:r>
              <w:rPr>
                <w:rFonts w:hint="default" w:ascii="Times New Roman" w:hAnsi="Times New Roman" w:eastAsia="宋体" w:cs="Times New Roman"/>
                <w:spacing w:val="10"/>
                <w:sz w:val="15"/>
                <w:szCs w:val="15"/>
                <w:highlight w:val="none"/>
              </w:rPr>
              <w:t>率</w:t>
            </w:r>
            <w:r>
              <w:rPr>
                <w:rFonts w:hint="default" w:ascii="Times New Roman" w:hAnsi="Times New Roman" w:eastAsia="宋体" w:cs="Times New Roman"/>
                <w:spacing w:val="10"/>
                <w:sz w:val="15"/>
                <w:szCs w:val="15"/>
                <w:highlight w:val="none"/>
                <w:lang w:eastAsia="zh-CN"/>
              </w:rPr>
              <w:t>(</w:t>
            </w:r>
            <w:r>
              <w:rPr>
                <w:rFonts w:hint="default" w:ascii="Times New Roman" w:hAnsi="Times New Roman" w:eastAsia="宋体" w:cs="Times New Roman"/>
                <w:spacing w:val="10"/>
                <w:sz w:val="15"/>
                <w:szCs w:val="15"/>
                <w:highlight w:val="none"/>
              </w:rPr>
              <w:t>%)</w:t>
            </w:r>
          </w:p>
        </w:tc>
        <w:tc>
          <w:tcPr>
            <w:tcW w:w="1409" w:type="dxa"/>
            <w:vAlign w:val="top"/>
          </w:tcPr>
          <w:p>
            <w:pPr>
              <w:spacing w:before="222" w:line="184" w:lineRule="auto"/>
              <w:ind w:left="53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10" w:type="dxa"/>
            <w:vAlign w:val="top"/>
          </w:tcPr>
          <w:p>
            <w:pPr>
              <w:spacing w:before="222" w:line="184" w:lineRule="auto"/>
              <w:ind w:left="3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899" w:type="dxa"/>
            <w:vAlign w:val="top"/>
          </w:tcPr>
          <w:p>
            <w:pPr>
              <w:spacing w:before="222" w:line="184" w:lineRule="auto"/>
              <w:ind w:left="28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10" w:type="dxa"/>
            <w:vAlign w:val="top"/>
          </w:tcPr>
          <w:p>
            <w:pPr>
              <w:spacing w:before="222" w:line="184" w:lineRule="auto"/>
              <w:ind w:left="3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19" w:type="dxa"/>
            <w:vAlign w:val="top"/>
          </w:tcPr>
          <w:p>
            <w:pPr>
              <w:spacing w:before="222" w:line="184" w:lineRule="auto"/>
              <w:ind w:left="29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09" w:type="dxa"/>
            <w:vAlign w:val="top"/>
          </w:tcPr>
          <w:p>
            <w:pPr>
              <w:spacing w:before="222" w:line="184" w:lineRule="auto"/>
              <w:ind w:left="28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1109" w:type="dxa"/>
            <w:vAlign w:val="top"/>
          </w:tcPr>
          <w:p>
            <w:pPr>
              <w:spacing w:before="222" w:line="184" w:lineRule="auto"/>
              <w:ind w:left="3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920" w:type="dxa"/>
            <w:vAlign w:val="top"/>
          </w:tcPr>
          <w:p>
            <w:pPr>
              <w:spacing w:before="222" w:line="184" w:lineRule="auto"/>
              <w:ind w:left="2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1049" w:type="dxa"/>
            <w:vAlign w:val="top"/>
          </w:tcPr>
          <w:p>
            <w:pPr>
              <w:spacing w:before="222" w:line="184" w:lineRule="auto"/>
              <w:ind w:left="35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c>
          <w:tcPr>
            <w:tcW w:w="1194" w:type="dxa"/>
            <w:vAlign w:val="top"/>
          </w:tcPr>
          <w:p>
            <w:pPr>
              <w:spacing w:before="222" w:line="184" w:lineRule="auto"/>
              <w:ind w:left="42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tcBorders>
            <w:vAlign w:val="top"/>
          </w:tcPr>
          <w:p>
            <w:pPr>
              <w:rPr>
                <w:rFonts w:hint="default" w:ascii="Times New Roman" w:hAnsi="Times New Roman" w:cs="Times New Roman"/>
                <w:sz w:val="15"/>
                <w:szCs w:val="15"/>
                <w:highlight w:val="none"/>
              </w:rPr>
            </w:pPr>
          </w:p>
        </w:tc>
        <w:tc>
          <w:tcPr>
            <w:tcW w:w="1236" w:type="dxa"/>
            <w:vAlign w:val="center"/>
          </w:tcPr>
          <w:p>
            <w:pPr>
              <w:spacing w:before="231" w:line="220"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时效指标</w:t>
            </w:r>
          </w:p>
        </w:tc>
        <w:tc>
          <w:tcPr>
            <w:tcW w:w="1816" w:type="dxa"/>
            <w:vAlign w:val="top"/>
          </w:tcPr>
          <w:p>
            <w:pPr>
              <w:spacing w:before="110" w:line="224" w:lineRule="auto"/>
              <w:ind w:right="5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完成农民补贴</w:t>
            </w:r>
            <w:r>
              <w:rPr>
                <w:rFonts w:hint="default" w:ascii="Times New Roman" w:hAnsi="Times New Roman" w:eastAsia="宋体" w:cs="Times New Roman"/>
                <w:spacing w:val="1"/>
                <w:sz w:val="15"/>
                <w:szCs w:val="15"/>
                <w:highlight w:val="none"/>
              </w:rPr>
              <w:t>资金兑付时限</w:t>
            </w:r>
          </w:p>
        </w:tc>
        <w:tc>
          <w:tcPr>
            <w:tcW w:w="1409" w:type="dxa"/>
            <w:vAlign w:val="top"/>
          </w:tcPr>
          <w:p>
            <w:pPr>
              <w:spacing w:before="230" w:line="219" w:lineRule="auto"/>
              <w:ind w:left="22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9月30日前</w:t>
            </w:r>
          </w:p>
        </w:tc>
        <w:tc>
          <w:tcPr>
            <w:tcW w:w="910" w:type="dxa"/>
            <w:vAlign w:val="center"/>
          </w:tcPr>
          <w:p>
            <w:pPr>
              <w:spacing w:before="111" w:line="217" w:lineRule="auto"/>
              <w:ind w:left="334" w:right="27" w:hanging="230"/>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w:t>
            </w:r>
            <w:r>
              <w:rPr>
                <w:rFonts w:hint="default" w:ascii="Times New Roman" w:hAnsi="Times New Roman" w:eastAsia="宋体" w:cs="Times New Roman"/>
                <w:spacing w:val="6"/>
                <w:sz w:val="15"/>
                <w:szCs w:val="15"/>
                <w:highlight w:val="none"/>
                <w:lang w:val="en-US" w:eastAsia="zh-CN"/>
              </w:rPr>
              <w:t>日</w:t>
            </w:r>
            <w:r>
              <w:rPr>
                <w:rFonts w:hint="default" w:ascii="Times New Roman" w:hAnsi="Times New Roman" w:eastAsia="宋体" w:cs="Times New Roman"/>
                <w:sz w:val="15"/>
                <w:szCs w:val="15"/>
                <w:highlight w:val="none"/>
              </w:rPr>
              <w:t>前</w:t>
            </w:r>
          </w:p>
        </w:tc>
        <w:tc>
          <w:tcPr>
            <w:tcW w:w="899" w:type="dxa"/>
            <w:vAlign w:val="center"/>
          </w:tcPr>
          <w:p>
            <w:pPr>
              <w:spacing w:before="109" w:line="222" w:lineRule="auto"/>
              <w:ind w:left="334" w:right="46" w:hanging="260"/>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w:t>
            </w:r>
            <w:r>
              <w:rPr>
                <w:rFonts w:hint="default" w:ascii="Times New Roman" w:hAnsi="Times New Roman" w:eastAsia="宋体" w:cs="Times New Roman"/>
                <w:spacing w:val="6"/>
                <w:sz w:val="15"/>
                <w:szCs w:val="15"/>
                <w:highlight w:val="none"/>
                <w:lang w:val="en-US" w:eastAsia="zh-CN"/>
              </w:rPr>
              <w:t>日</w:t>
            </w:r>
            <w:r>
              <w:rPr>
                <w:rFonts w:hint="default" w:ascii="Times New Roman" w:hAnsi="Times New Roman" w:eastAsia="宋体" w:cs="Times New Roman"/>
                <w:sz w:val="15"/>
                <w:szCs w:val="15"/>
                <w:highlight w:val="none"/>
              </w:rPr>
              <w:t>前</w:t>
            </w:r>
          </w:p>
        </w:tc>
        <w:tc>
          <w:tcPr>
            <w:tcW w:w="910" w:type="dxa"/>
            <w:vAlign w:val="center"/>
          </w:tcPr>
          <w:p>
            <w:pPr>
              <w:spacing w:before="131" w:line="217" w:lineRule="auto"/>
              <w:ind w:left="434" w:right="36" w:hanging="339"/>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9月30日</w:t>
            </w:r>
            <w:r>
              <w:rPr>
                <w:rFonts w:hint="default" w:ascii="Times New Roman" w:hAnsi="Times New Roman" w:eastAsia="宋体" w:cs="Times New Roman"/>
                <w:sz w:val="15"/>
                <w:szCs w:val="15"/>
                <w:highlight w:val="none"/>
              </w:rPr>
              <w:t>前</w:t>
            </w:r>
          </w:p>
        </w:tc>
        <w:tc>
          <w:tcPr>
            <w:tcW w:w="919" w:type="dxa"/>
            <w:vAlign w:val="center"/>
          </w:tcPr>
          <w:p>
            <w:pPr>
              <w:spacing w:before="131" w:line="217" w:lineRule="auto"/>
              <w:ind w:left="344" w:right="55" w:hanging="259"/>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9月30日</w:t>
            </w:r>
            <w:r>
              <w:rPr>
                <w:rFonts w:hint="default" w:ascii="Times New Roman" w:hAnsi="Times New Roman" w:eastAsia="宋体" w:cs="Times New Roman"/>
                <w:sz w:val="15"/>
                <w:szCs w:val="15"/>
                <w:highlight w:val="none"/>
              </w:rPr>
              <w:t>前</w:t>
            </w:r>
          </w:p>
        </w:tc>
        <w:tc>
          <w:tcPr>
            <w:tcW w:w="909" w:type="dxa"/>
            <w:vAlign w:val="center"/>
          </w:tcPr>
          <w:p>
            <w:pPr>
              <w:spacing w:before="131" w:line="217" w:lineRule="auto"/>
              <w:ind w:left="345" w:right="44" w:hanging="269"/>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8"/>
                <w:sz w:val="15"/>
                <w:szCs w:val="15"/>
                <w:highlight w:val="none"/>
              </w:rPr>
              <w:t>9月30日</w:t>
            </w:r>
            <w:r>
              <w:rPr>
                <w:rFonts w:hint="default" w:ascii="Times New Roman" w:hAnsi="Times New Roman" w:eastAsia="宋体" w:cs="Times New Roman"/>
                <w:sz w:val="15"/>
                <w:szCs w:val="15"/>
                <w:highlight w:val="none"/>
              </w:rPr>
              <w:t>前</w:t>
            </w:r>
          </w:p>
        </w:tc>
        <w:tc>
          <w:tcPr>
            <w:tcW w:w="1109" w:type="dxa"/>
            <w:vAlign w:val="center"/>
          </w:tcPr>
          <w:p>
            <w:pPr>
              <w:spacing w:before="230"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9月30日前</w:t>
            </w:r>
          </w:p>
        </w:tc>
        <w:tc>
          <w:tcPr>
            <w:tcW w:w="920" w:type="dxa"/>
            <w:vAlign w:val="center"/>
          </w:tcPr>
          <w:p>
            <w:pPr>
              <w:spacing w:before="131" w:line="217" w:lineRule="auto"/>
              <w:ind w:right="53"/>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9月30日</w:t>
            </w:r>
            <w:r>
              <w:rPr>
                <w:rFonts w:hint="default" w:ascii="Times New Roman" w:hAnsi="Times New Roman" w:eastAsia="宋体" w:cs="Times New Roman"/>
                <w:sz w:val="15"/>
                <w:szCs w:val="15"/>
                <w:highlight w:val="none"/>
              </w:rPr>
              <w:t>前</w:t>
            </w:r>
          </w:p>
        </w:tc>
        <w:tc>
          <w:tcPr>
            <w:tcW w:w="1049" w:type="dxa"/>
            <w:vAlign w:val="center"/>
          </w:tcPr>
          <w:p>
            <w:pPr>
              <w:spacing w:before="230" w:line="219" w:lineRule="auto"/>
              <w:jc w:val="both"/>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9月30日前</w:t>
            </w:r>
          </w:p>
        </w:tc>
        <w:tc>
          <w:tcPr>
            <w:tcW w:w="1194" w:type="dxa"/>
            <w:vAlign w:val="center"/>
          </w:tcPr>
          <w:p>
            <w:pPr>
              <w:spacing w:before="230"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restart"/>
            <w:tcBorders>
              <w:bottom w:val="nil"/>
            </w:tcBorders>
            <w:vAlign w:val="top"/>
          </w:tcPr>
          <w:p>
            <w:pPr>
              <w:spacing w:line="263" w:lineRule="auto"/>
              <w:rPr>
                <w:rFonts w:hint="default" w:ascii="Times New Roman" w:hAnsi="Times New Roman" w:cs="Times New Roman"/>
                <w:sz w:val="15"/>
                <w:szCs w:val="15"/>
                <w:highlight w:val="none"/>
              </w:rPr>
            </w:pPr>
          </w:p>
          <w:p>
            <w:pPr>
              <w:spacing w:line="263" w:lineRule="auto"/>
              <w:rPr>
                <w:rFonts w:hint="default" w:ascii="Times New Roman" w:hAnsi="Times New Roman" w:cs="Times New Roman"/>
                <w:sz w:val="15"/>
                <w:szCs w:val="15"/>
                <w:highlight w:val="none"/>
              </w:rPr>
            </w:pPr>
          </w:p>
          <w:p>
            <w:pPr>
              <w:spacing w:line="263" w:lineRule="auto"/>
              <w:rPr>
                <w:rFonts w:hint="default" w:ascii="Times New Roman" w:hAnsi="Times New Roman" w:cs="Times New Roman"/>
                <w:sz w:val="15"/>
                <w:szCs w:val="15"/>
                <w:highlight w:val="none"/>
              </w:rPr>
            </w:pPr>
          </w:p>
          <w:p>
            <w:pPr>
              <w:spacing w:before="68" w:line="220" w:lineRule="auto"/>
              <w:ind w:left="46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效益指标</w:t>
            </w:r>
          </w:p>
        </w:tc>
        <w:tc>
          <w:tcPr>
            <w:tcW w:w="1236" w:type="dxa"/>
            <w:vAlign w:val="center"/>
          </w:tcPr>
          <w:p>
            <w:pPr>
              <w:spacing w:before="51" w:line="207" w:lineRule="auto"/>
              <w:ind w:right="73"/>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经济效益指</w:t>
            </w:r>
            <w:r>
              <w:rPr>
                <w:rFonts w:hint="default" w:ascii="Times New Roman" w:hAnsi="Times New Roman" w:eastAsia="宋体" w:cs="Times New Roman"/>
                <w:sz w:val="15"/>
                <w:szCs w:val="15"/>
                <w:highlight w:val="none"/>
              </w:rPr>
              <w:t>标</w:t>
            </w:r>
          </w:p>
        </w:tc>
        <w:tc>
          <w:tcPr>
            <w:tcW w:w="1816" w:type="dxa"/>
            <w:vAlign w:val="top"/>
          </w:tcPr>
          <w:p>
            <w:pPr>
              <w:spacing w:before="160" w:line="219"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种粮农户收益</w:t>
            </w:r>
          </w:p>
        </w:tc>
        <w:tc>
          <w:tcPr>
            <w:tcW w:w="1409" w:type="dxa"/>
            <w:vAlign w:val="top"/>
          </w:tcPr>
          <w:p>
            <w:pPr>
              <w:spacing w:before="161" w:line="219" w:lineRule="auto"/>
              <w:ind w:left="4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10" w:type="dxa"/>
            <w:vAlign w:val="top"/>
          </w:tcPr>
          <w:p>
            <w:pPr>
              <w:spacing w:before="161" w:line="219" w:lineRule="auto"/>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899" w:type="dxa"/>
            <w:vAlign w:val="top"/>
          </w:tcPr>
          <w:p>
            <w:pPr>
              <w:spacing w:before="161" w:line="219" w:lineRule="auto"/>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10" w:type="dxa"/>
            <w:vAlign w:val="top"/>
          </w:tcPr>
          <w:p>
            <w:pPr>
              <w:spacing w:before="161" w:line="219" w:lineRule="auto"/>
              <w:ind w:left="2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19" w:type="dxa"/>
            <w:vAlign w:val="top"/>
          </w:tcPr>
          <w:p>
            <w:pPr>
              <w:spacing w:before="161" w:line="219" w:lineRule="auto"/>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09" w:type="dxa"/>
            <w:vAlign w:val="top"/>
          </w:tcPr>
          <w:p>
            <w:pPr>
              <w:spacing w:before="161" w:line="219" w:lineRule="auto"/>
              <w:ind w:left="2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1109" w:type="dxa"/>
            <w:vAlign w:val="top"/>
          </w:tcPr>
          <w:p>
            <w:pPr>
              <w:spacing w:before="161" w:line="219" w:lineRule="auto"/>
              <w:ind w:left="33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920" w:type="dxa"/>
            <w:vAlign w:val="top"/>
          </w:tcPr>
          <w:p>
            <w:pPr>
              <w:spacing w:before="161" w:line="219" w:lineRule="auto"/>
              <w:ind w:left="24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1049" w:type="dxa"/>
            <w:vAlign w:val="top"/>
          </w:tcPr>
          <w:p>
            <w:pPr>
              <w:spacing w:before="161" w:line="219" w:lineRule="auto"/>
              <w:ind w:left="30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c>
          <w:tcPr>
            <w:tcW w:w="1194" w:type="dxa"/>
            <w:vAlign w:val="top"/>
          </w:tcPr>
          <w:p>
            <w:pPr>
              <w:spacing w:before="161" w:line="219" w:lineRule="auto"/>
              <w:ind w:left="37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236" w:type="dxa"/>
            <w:vMerge w:val="restart"/>
            <w:tcBorders>
              <w:bottom w:val="nil"/>
            </w:tcBorders>
            <w:vAlign w:val="center"/>
          </w:tcPr>
          <w:p>
            <w:pPr>
              <w:spacing w:before="68" w:line="216" w:lineRule="auto"/>
              <w:ind w:right="73"/>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社会效益指</w:t>
            </w:r>
            <w:r>
              <w:rPr>
                <w:rFonts w:hint="default" w:ascii="Times New Roman" w:hAnsi="Times New Roman" w:eastAsia="宋体" w:cs="Times New Roman"/>
                <w:sz w:val="15"/>
                <w:szCs w:val="15"/>
                <w:highlight w:val="none"/>
              </w:rPr>
              <w:t>标</w:t>
            </w:r>
          </w:p>
        </w:tc>
        <w:tc>
          <w:tcPr>
            <w:tcW w:w="1816" w:type="dxa"/>
            <w:vAlign w:val="top"/>
          </w:tcPr>
          <w:p>
            <w:pPr>
              <w:spacing w:before="100" w:line="202" w:lineRule="auto"/>
              <w:ind w:right="7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农民种粮积极</w:t>
            </w:r>
            <w:r>
              <w:rPr>
                <w:rFonts w:hint="default" w:ascii="Times New Roman" w:hAnsi="Times New Roman" w:eastAsia="宋体" w:cs="Times New Roman"/>
                <w:sz w:val="15"/>
                <w:szCs w:val="15"/>
                <w:highlight w:val="none"/>
              </w:rPr>
              <w:t>性</w:t>
            </w:r>
          </w:p>
        </w:tc>
        <w:tc>
          <w:tcPr>
            <w:tcW w:w="1409" w:type="dxa"/>
            <w:vAlign w:val="top"/>
          </w:tcPr>
          <w:p>
            <w:pPr>
              <w:spacing w:before="181" w:line="219" w:lineRule="auto"/>
              <w:ind w:left="27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10" w:type="dxa"/>
            <w:vAlign w:val="top"/>
          </w:tcPr>
          <w:p>
            <w:pPr>
              <w:spacing w:before="181" w:line="219" w:lineRule="auto"/>
              <w:ind w:left="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899" w:type="dxa"/>
            <w:vAlign w:val="top"/>
          </w:tcPr>
          <w:p>
            <w:pPr>
              <w:spacing w:before="181" w:line="219" w:lineRule="auto"/>
              <w:ind w:left="2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10" w:type="dxa"/>
            <w:vAlign w:val="top"/>
          </w:tcPr>
          <w:p>
            <w:pPr>
              <w:spacing w:before="181"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19" w:type="dxa"/>
            <w:vAlign w:val="top"/>
          </w:tcPr>
          <w:p>
            <w:pPr>
              <w:spacing w:before="181" w:line="219" w:lineRule="auto"/>
              <w:ind w:left="3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09" w:type="dxa"/>
            <w:vAlign w:val="top"/>
          </w:tcPr>
          <w:p>
            <w:pPr>
              <w:spacing w:before="181" w:line="219" w:lineRule="auto"/>
              <w:ind w:left="2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1109" w:type="dxa"/>
            <w:vAlign w:val="top"/>
          </w:tcPr>
          <w:p>
            <w:pPr>
              <w:spacing w:before="181" w:line="219" w:lineRule="auto"/>
              <w:ind w:left="12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920" w:type="dxa"/>
            <w:vAlign w:val="top"/>
          </w:tcPr>
          <w:p>
            <w:pPr>
              <w:spacing w:before="181" w:line="219" w:lineRule="auto"/>
              <w:ind w:left="3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1049" w:type="dxa"/>
            <w:vAlign w:val="top"/>
          </w:tcPr>
          <w:p>
            <w:pPr>
              <w:spacing w:before="181" w:line="219" w:lineRule="auto"/>
              <w:ind w:left="9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c>
          <w:tcPr>
            <w:tcW w:w="1194" w:type="dxa"/>
            <w:vAlign w:val="top"/>
          </w:tcPr>
          <w:p>
            <w:pPr>
              <w:spacing w:before="181" w:line="219" w:lineRule="auto"/>
              <w:ind w:left="16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有所提高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123" w:type="dxa"/>
            <w:vMerge w:val="continue"/>
            <w:tcBorders>
              <w:top w:val="nil"/>
              <w:bottom w:val="nil"/>
            </w:tcBorders>
            <w:vAlign w:val="top"/>
          </w:tcPr>
          <w:p>
            <w:pPr>
              <w:rPr>
                <w:rFonts w:hint="default" w:ascii="Times New Roman" w:hAnsi="Times New Roman" w:cs="Times New Roman"/>
                <w:sz w:val="15"/>
                <w:szCs w:val="15"/>
                <w:highlight w:val="none"/>
              </w:rPr>
            </w:pPr>
          </w:p>
        </w:tc>
        <w:tc>
          <w:tcPr>
            <w:tcW w:w="1356" w:type="dxa"/>
            <w:vMerge w:val="continue"/>
            <w:tcBorders>
              <w:top w:val="nil"/>
            </w:tcBorders>
            <w:vAlign w:val="top"/>
          </w:tcPr>
          <w:p>
            <w:pPr>
              <w:rPr>
                <w:rFonts w:hint="default" w:ascii="Times New Roman" w:hAnsi="Times New Roman" w:cs="Times New Roman"/>
                <w:sz w:val="15"/>
                <w:szCs w:val="15"/>
                <w:highlight w:val="none"/>
              </w:rPr>
            </w:pPr>
          </w:p>
        </w:tc>
        <w:tc>
          <w:tcPr>
            <w:tcW w:w="1236" w:type="dxa"/>
            <w:vMerge w:val="continue"/>
            <w:tcBorders>
              <w:top w:val="nil"/>
            </w:tcBorders>
            <w:vAlign w:val="center"/>
          </w:tcPr>
          <w:p>
            <w:pPr>
              <w:jc w:val="center"/>
              <w:rPr>
                <w:rFonts w:hint="default" w:ascii="Times New Roman" w:hAnsi="Times New Roman" w:cs="Times New Roman"/>
                <w:sz w:val="15"/>
                <w:szCs w:val="15"/>
                <w:highlight w:val="none"/>
              </w:rPr>
            </w:pPr>
          </w:p>
        </w:tc>
        <w:tc>
          <w:tcPr>
            <w:tcW w:w="1816" w:type="dxa"/>
            <w:vAlign w:val="top"/>
          </w:tcPr>
          <w:p>
            <w:pPr>
              <w:spacing w:before="91" w:line="213" w:lineRule="auto"/>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资金使用重大</w:t>
            </w:r>
            <w:r>
              <w:rPr>
                <w:rFonts w:hint="default" w:ascii="Times New Roman" w:hAnsi="Times New Roman" w:eastAsia="宋体" w:cs="Times New Roman"/>
                <w:spacing w:val="-2"/>
                <w:sz w:val="15"/>
                <w:szCs w:val="15"/>
                <w:highlight w:val="none"/>
              </w:rPr>
              <w:t>违规违纪问题</w:t>
            </w:r>
            <w:r>
              <w:rPr>
                <w:rFonts w:hint="default" w:ascii="Times New Roman" w:hAnsi="Times New Roman" w:eastAsia="宋体" w:cs="Times New Roman"/>
                <w:spacing w:val="-2"/>
                <w:sz w:val="15"/>
                <w:szCs w:val="15"/>
                <w:highlight w:val="none"/>
                <w:lang w:eastAsia="zh-CN"/>
              </w:rPr>
              <w:t>（</w:t>
            </w:r>
            <w:r>
              <w:rPr>
                <w:rFonts w:hint="default" w:ascii="Times New Roman" w:hAnsi="Times New Roman" w:eastAsia="宋体" w:cs="Times New Roman"/>
                <w:spacing w:val="8"/>
                <w:sz w:val="15"/>
                <w:szCs w:val="15"/>
                <w:highlight w:val="none"/>
              </w:rPr>
              <w:t>有/无</w:t>
            </w:r>
            <w:r>
              <w:rPr>
                <w:rFonts w:hint="default" w:ascii="Times New Roman" w:hAnsi="Times New Roman" w:eastAsia="宋体" w:cs="Times New Roman"/>
                <w:spacing w:val="8"/>
                <w:sz w:val="15"/>
                <w:szCs w:val="15"/>
                <w:highlight w:val="none"/>
                <w:lang w:eastAsia="zh-CN"/>
              </w:rPr>
              <w:t>）</w:t>
            </w:r>
          </w:p>
        </w:tc>
        <w:tc>
          <w:tcPr>
            <w:tcW w:w="1409" w:type="dxa"/>
            <w:vAlign w:val="top"/>
          </w:tcPr>
          <w:p>
            <w:pPr>
              <w:spacing w:before="302" w:line="220" w:lineRule="auto"/>
              <w:ind w:left="593"/>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10" w:type="dxa"/>
            <w:vAlign w:val="top"/>
          </w:tcPr>
          <w:p>
            <w:pPr>
              <w:spacing w:before="302" w:line="220" w:lineRule="auto"/>
              <w:ind w:left="50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899" w:type="dxa"/>
            <w:vAlign w:val="top"/>
          </w:tcPr>
          <w:p>
            <w:pPr>
              <w:spacing w:before="302" w:line="220" w:lineRule="auto"/>
              <w:ind w:left="334"/>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10" w:type="dxa"/>
            <w:vAlign w:val="top"/>
          </w:tcPr>
          <w:p>
            <w:pPr>
              <w:spacing w:before="302" w:line="220" w:lineRule="auto"/>
              <w:ind w:left="43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19" w:type="dxa"/>
            <w:vAlign w:val="top"/>
          </w:tcPr>
          <w:p>
            <w:pPr>
              <w:spacing w:before="302" w:line="220" w:lineRule="auto"/>
              <w:ind w:left="345"/>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09" w:type="dxa"/>
            <w:vAlign w:val="top"/>
          </w:tcPr>
          <w:p>
            <w:pPr>
              <w:spacing w:before="302" w:line="220" w:lineRule="auto"/>
              <w:ind w:left="346"/>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1109" w:type="dxa"/>
            <w:vAlign w:val="top"/>
          </w:tcPr>
          <w:p>
            <w:pPr>
              <w:spacing w:before="302" w:line="220" w:lineRule="auto"/>
              <w:ind w:left="447"/>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920" w:type="dxa"/>
            <w:vAlign w:val="top"/>
          </w:tcPr>
          <w:p>
            <w:pPr>
              <w:spacing w:before="302" w:line="220" w:lineRule="auto"/>
              <w:ind w:left="34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1049" w:type="dxa"/>
            <w:vAlign w:val="top"/>
          </w:tcPr>
          <w:p>
            <w:pPr>
              <w:spacing w:before="302" w:line="220" w:lineRule="auto"/>
              <w:ind w:left="418"/>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c>
          <w:tcPr>
            <w:tcW w:w="1194" w:type="dxa"/>
            <w:vAlign w:val="top"/>
          </w:tcPr>
          <w:p>
            <w:pPr>
              <w:spacing w:before="302" w:line="220" w:lineRule="auto"/>
              <w:ind w:left="489"/>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123" w:type="dxa"/>
            <w:vMerge w:val="continue"/>
            <w:tcBorders>
              <w:top w:val="nil"/>
              <w:bottom w:val="single" w:color="000000" w:sz="2" w:space="0"/>
            </w:tcBorders>
            <w:vAlign w:val="top"/>
          </w:tcPr>
          <w:p>
            <w:pPr>
              <w:rPr>
                <w:rFonts w:hint="default" w:ascii="Times New Roman" w:hAnsi="Times New Roman" w:cs="Times New Roman"/>
                <w:sz w:val="15"/>
                <w:szCs w:val="15"/>
                <w:highlight w:val="none"/>
              </w:rPr>
            </w:pPr>
          </w:p>
        </w:tc>
        <w:tc>
          <w:tcPr>
            <w:tcW w:w="1356" w:type="dxa"/>
            <w:tcBorders>
              <w:bottom w:val="single" w:color="000000" w:sz="2" w:space="0"/>
            </w:tcBorders>
            <w:vAlign w:val="top"/>
          </w:tcPr>
          <w:p>
            <w:pPr>
              <w:spacing w:line="382" w:lineRule="auto"/>
              <w:rPr>
                <w:rFonts w:hint="default" w:ascii="Times New Roman" w:hAnsi="Times New Roman" w:cs="Times New Roman"/>
                <w:sz w:val="15"/>
                <w:szCs w:val="15"/>
                <w:highlight w:val="none"/>
              </w:rPr>
            </w:pPr>
          </w:p>
          <w:p>
            <w:pPr>
              <w:spacing w:before="68" w:line="219" w:lineRule="auto"/>
              <w:ind w:left="350"/>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满意度指标</w:t>
            </w:r>
          </w:p>
        </w:tc>
        <w:tc>
          <w:tcPr>
            <w:tcW w:w="1236" w:type="dxa"/>
            <w:tcBorders>
              <w:bottom w:val="single" w:color="000000" w:sz="2" w:space="0"/>
            </w:tcBorders>
            <w:vAlign w:val="center"/>
          </w:tcPr>
          <w:p>
            <w:pPr>
              <w:spacing w:before="69" w:line="219" w:lineRule="auto"/>
              <w:jc w:val="center"/>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2"/>
                <w:sz w:val="15"/>
                <w:szCs w:val="15"/>
                <w:highlight w:val="none"/>
              </w:rPr>
              <w:t>服务对象满</w:t>
            </w:r>
            <w:r>
              <w:rPr>
                <w:rFonts w:hint="default" w:ascii="Times New Roman" w:hAnsi="Times New Roman" w:eastAsia="宋体" w:cs="Times New Roman"/>
                <w:spacing w:val="2"/>
                <w:sz w:val="15"/>
                <w:szCs w:val="15"/>
                <w:highlight w:val="none"/>
              </w:rPr>
              <w:t>意度指标</w:t>
            </w:r>
          </w:p>
        </w:tc>
        <w:tc>
          <w:tcPr>
            <w:tcW w:w="1816" w:type="dxa"/>
            <w:tcBorders>
              <w:bottom w:val="single" w:color="000000" w:sz="2" w:space="0"/>
            </w:tcBorders>
            <w:vAlign w:val="top"/>
          </w:tcPr>
          <w:p>
            <w:pPr>
              <w:spacing w:before="101" w:line="220" w:lineRule="auto"/>
              <w:ind w:right="53"/>
              <w:jc w:val="both"/>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1"/>
                <w:sz w:val="15"/>
                <w:szCs w:val="15"/>
                <w:highlight w:val="none"/>
              </w:rPr>
              <w:t>实际种粮农民</w:t>
            </w:r>
            <w:r>
              <w:rPr>
                <w:rFonts w:hint="default" w:ascii="Times New Roman" w:hAnsi="Times New Roman" w:eastAsia="宋体" w:cs="Times New Roman"/>
                <w:spacing w:val="4"/>
                <w:sz w:val="15"/>
                <w:szCs w:val="15"/>
                <w:highlight w:val="none"/>
              </w:rPr>
              <w:t xml:space="preserve"> </w:t>
            </w:r>
            <w:r>
              <w:rPr>
                <w:rFonts w:hint="default" w:ascii="Times New Roman" w:hAnsi="Times New Roman" w:eastAsia="宋体" w:cs="Times New Roman"/>
                <w:spacing w:val="1"/>
                <w:sz w:val="15"/>
                <w:szCs w:val="15"/>
                <w:highlight w:val="none"/>
              </w:rPr>
              <w:t>一次性补贴政</w:t>
            </w:r>
            <w:r>
              <w:rPr>
                <w:rFonts w:hint="default" w:ascii="Times New Roman" w:hAnsi="Times New Roman" w:eastAsia="宋体" w:cs="Times New Roman"/>
                <w:spacing w:val="2"/>
                <w:sz w:val="15"/>
                <w:szCs w:val="15"/>
                <w:highlight w:val="none"/>
              </w:rPr>
              <w:t>策群众满意度</w:t>
            </w:r>
            <w:r>
              <w:rPr>
                <w:rFonts w:hint="default" w:ascii="Times New Roman" w:hAnsi="Times New Roman" w:eastAsia="宋体" w:cs="Times New Roman"/>
                <w:spacing w:val="2"/>
                <w:sz w:val="15"/>
                <w:szCs w:val="15"/>
                <w:highlight w:val="none"/>
                <w:lang w:eastAsia="zh-CN"/>
              </w:rPr>
              <w:t>(</w:t>
            </w:r>
            <w:r>
              <w:rPr>
                <w:rFonts w:hint="default" w:ascii="Times New Roman" w:hAnsi="Times New Roman" w:eastAsia="宋体" w:cs="Times New Roman"/>
                <w:spacing w:val="-11"/>
                <w:sz w:val="15"/>
                <w:szCs w:val="15"/>
                <w:highlight w:val="none"/>
              </w:rPr>
              <w:t>%)</w:t>
            </w:r>
          </w:p>
        </w:tc>
        <w:tc>
          <w:tcPr>
            <w:tcW w:w="140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483"/>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910"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9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89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34"/>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910"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2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91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45"/>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90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ind w:left="236"/>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3"/>
                <w:sz w:val="15"/>
                <w:szCs w:val="15"/>
                <w:highlight w:val="none"/>
              </w:rPr>
              <w:t>&gt;85%</w:t>
            </w:r>
          </w:p>
        </w:tc>
        <w:tc>
          <w:tcPr>
            <w:tcW w:w="110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line="237" w:lineRule="auto"/>
              <w:ind w:left="287"/>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≥85%</w:t>
            </w:r>
          </w:p>
        </w:tc>
        <w:tc>
          <w:tcPr>
            <w:tcW w:w="920"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line="237" w:lineRule="auto"/>
              <w:ind w:left="18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≥85%</w:t>
            </w:r>
          </w:p>
        </w:tc>
        <w:tc>
          <w:tcPr>
            <w:tcW w:w="1049"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line="237" w:lineRule="auto"/>
              <w:ind w:left="258"/>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≥85%</w:t>
            </w:r>
          </w:p>
        </w:tc>
        <w:tc>
          <w:tcPr>
            <w:tcW w:w="1194" w:type="dxa"/>
            <w:tcBorders>
              <w:bottom w:val="single" w:color="000000" w:sz="2" w:space="0"/>
            </w:tcBorders>
            <w:vAlign w:val="top"/>
          </w:tcPr>
          <w:p>
            <w:pPr>
              <w:spacing w:line="402" w:lineRule="auto"/>
              <w:rPr>
                <w:rFonts w:hint="default" w:ascii="Times New Roman" w:hAnsi="Times New Roman" w:cs="Times New Roman"/>
                <w:sz w:val="15"/>
                <w:szCs w:val="15"/>
                <w:highlight w:val="none"/>
              </w:rPr>
            </w:pPr>
          </w:p>
          <w:p>
            <w:pPr>
              <w:spacing w:before="68" w:line="237" w:lineRule="auto"/>
              <w:ind w:left="329"/>
              <w:rPr>
                <w:rFonts w:hint="default" w:ascii="Times New Roman" w:hAnsi="Times New Roman" w:eastAsia="宋体" w:cs="Times New Roman"/>
                <w:sz w:val="15"/>
                <w:szCs w:val="15"/>
                <w:highlight w:val="none"/>
              </w:rPr>
            </w:pPr>
            <w:r>
              <w:rPr>
                <w:rFonts w:hint="default" w:ascii="Times New Roman" w:hAnsi="Times New Roman" w:eastAsia="宋体" w:cs="Times New Roman"/>
                <w:spacing w:val="-6"/>
                <w:sz w:val="15"/>
                <w:szCs w:val="15"/>
                <w:highlight w:val="none"/>
              </w:rPr>
              <w:t>≥85%</w:t>
            </w:r>
          </w:p>
        </w:tc>
      </w:tr>
    </w:tbl>
    <w:p>
      <w:pPr>
        <w:rPr>
          <w:rFonts w:hint="default" w:ascii="Times New Roman" w:hAnsi="Times New Roman" w:cs="Times New Roman"/>
          <w:sz w:val="21"/>
          <w:highlight w:val="none"/>
        </w:rPr>
      </w:pPr>
    </w:p>
    <w:p>
      <w:pPr>
        <w:pStyle w:val="15"/>
        <w:rPr>
          <w:rFonts w:hint="default" w:ascii="Times New Roman" w:hAnsi="Times New Roman" w:cs="Times New Roman"/>
          <w:highlight w:val="none"/>
        </w:rPr>
        <w:sectPr>
          <w:footerReference r:id="rId4" w:type="default"/>
          <w:pgSz w:w="16790" w:h="11910"/>
          <w:pgMar w:top="622" w:right="514" w:bottom="551" w:left="505" w:header="0" w:footer="323" w:gutter="0"/>
          <w:pgNumType w:fmt="decimal"/>
          <w:cols w:space="720" w:num="1"/>
        </w:sectPr>
      </w:pPr>
    </w:p>
    <w:p>
      <w:pPr>
        <w:pStyle w:val="15"/>
        <w:jc w:val="center"/>
        <w:rPr>
          <w:rFonts w:hint="default" w:ascii="Times New Roman" w:hAnsi="Times New Roman" w:eastAsia="宋体" w:cs="Times New Roman"/>
          <w:b/>
          <w:bCs/>
          <w:color w:val="auto"/>
          <w:sz w:val="28"/>
          <w:szCs w:val="28"/>
          <w:highlight w:val="none"/>
          <w:lang w:bidi="ar"/>
        </w:rPr>
      </w:pPr>
      <w:r>
        <w:rPr>
          <w:rFonts w:hint="default" w:ascii="Times New Roman" w:hAnsi="Times New Roman" w:eastAsia="宋体" w:cs="Times New Roman"/>
          <w:b/>
          <w:bCs/>
          <w:color w:val="auto"/>
          <w:sz w:val="28"/>
          <w:szCs w:val="28"/>
          <w:highlight w:val="none"/>
          <w:lang w:bidi="ar"/>
        </w:rPr>
        <w:t>202</w:t>
      </w:r>
      <w:r>
        <w:rPr>
          <w:rFonts w:hint="default" w:ascii="Times New Roman" w:hAnsi="Times New Roman" w:eastAsia="宋体" w:cs="Times New Roman"/>
          <w:b/>
          <w:bCs/>
          <w:color w:val="auto"/>
          <w:sz w:val="28"/>
          <w:szCs w:val="28"/>
          <w:highlight w:val="none"/>
          <w:lang w:val="en-US" w:eastAsia="zh-CN" w:bidi="ar"/>
        </w:rPr>
        <w:t>2</w:t>
      </w:r>
      <w:r>
        <w:rPr>
          <w:rFonts w:hint="default" w:ascii="Times New Roman" w:hAnsi="Times New Roman" w:eastAsia="宋体" w:cs="Times New Roman"/>
          <w:b/>
          <w:bCs/>
          <w:color w:val="auto"/>
          <w:sz w:val="28"/>
          <w:szCs w:val="28"/>
          <w:highlight w:val="none"/>
          <w:lang w:bidi="ar"/>
        </w:rPr>
        <w:t>年中央农业生产发展资金区域绩效目标表</w:t>
      </w:r>
    </w:p>
    <w:tbl>
      <w:tblPr>
        <w:tblStyle w:val="13"/>
        <w:tblW w:w="155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3"/>
        <w:gridCol w:w="373"/>
        <w:gridCol w:w="295"/>
        <w:gridCol w:w="535"/>
        <w:gridCol w:w="466"/>
        <w:gridCol w:w="467"/>
        <w:gridCol w:w="505"/>
        <w:gridCol w:w="514"/>
        <w:gridCol w:w="505"/>
        <w:gridCol w:w="514"/>
        <w:gridCol w:w="467"/>
        <w:gridCol w:w="505"/>
        <w:gridCol w:w="514"/>
        <w:gridCol w:w="505"/>
        <w:gridCol w:w="505"/>
        <w:gridCol w:w="514"/>
        <w:gridCol w:w="514"/>
        <w:gridCol w:w="505"/>
        <w:gridCol w:w="514"/>
        <w:gridCol w:w="536"/>
        <w:gridCol w:w="414"/>
        <w:gridCol w:w="296"/>
        <w:gridCol w:w="414"/>
        <w:gridCol w:w="296"/>
        <w:gridCol w:w="333"/>
        <w:gridCol w:w="374"/>
        <w:gridCol w:w="374"/>
        <w:gridCol w:w="448"/>
        <w:gridCol w:w="405"/>
        <w:gridCol w:w="374"/>
        <w:gridCol w:w="374"/>
        <w:gridCol w:w="296"/>
        <w:gridCol w:w="330"/>
        <w:gridCol w:w="374"/>
        <w:gridCol w:w="405"/>
        <w:gridCol w:w="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资金名称</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中央农业生产发展资金（全年总表）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全区总绩效 目标</w:t>
            </w:r>
          </w:p>
        </w:tc>
        <w:tc>
          <w:tcPr>
            <w:tcW w:w="13057"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分区域绩效目标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中央主管部门</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财政部、农业农村部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伊犁州</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塔城地区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阿勒泰地区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昌吉州</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乌鲁木齐市（含中国融通公司）</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克拉玛依市</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博州</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吐鲁番市</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哈密市</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巴州</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阿克苏地区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克州</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喀什地区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和田地区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新疆农业信贷融资担保有限责任公司</w:t>
            </w:r>
          </w:p>
        </w:tc>
        <w:tc>
          <w:tcPr>
            <w:tcW w:w="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新疆畜牧科学院畜牧所</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新疆畜牧科学院畜牧业质量标准研究所</w:t>
            </w:r>
          </w:p>
        </w:tc>
        <w:tc>
          <w:tcPr>
            <w:tcW w:w="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自治区动物疾病预防控制中心</w:t>
            </w:r>
          </w:p>
        </w:tc>
        <w:tc>
          <w:tcPr>
            <w:tcW w:w="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自治区畜牧总站</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自治区农业农村机械化发展中心</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自治区农业机械化信息中心</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自治区农牧业机械产品质量监督管理站</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新疆农业大学</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西北农林科技大学（农业农村厅办公室）</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华中农业大学（农业农村厅办公室）</w:t>
            </w:r>
          </w:p>
        </w:tc>
        <w:tc>
          <w:tcPr>
            <w:tcW w:w="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新疆大学</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新疆医科大学</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石河子大学（农业农村厅办公室）</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新疆农业职业技术学院</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新疆农业广播电视学校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省级财政部门</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新疆维吾尔自治区财政厅</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7117"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各地州市财政局、农业农村局</w:t>
            </w: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省级主管部门</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新疆维吾尔自治区农业农村厅</w:t>
            </w: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7117"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资金情况 （万元）</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年度金额：</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574957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574957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56859.7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40142.75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18705.3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69594.95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6974.5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721.5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16364.85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2086.5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6910.3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40736.45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104946.3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15652.6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112410.2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45669.1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18451</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203</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9550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2350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1278</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其中：中央补助</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574957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574957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56859.7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40142.75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18705.3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69594.95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6974.5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721.5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16364.85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2086.5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6910.3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40736.45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104946.3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15652.6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112410.2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45669.1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18451</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203</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9550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2350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1278</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地方资金</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年度目标</w:t>
            </w: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r>
              <w:rPr>
                <w:rStyle w:val="27"/>
                <w:rFonts w:hint="default" w:ascii="Times New Roman" w:hAnsi="Times New Roman" w:eastAsia="宋体" w:cs="Times New Roman"/>
                <w:b w:val="0"/>
                <w:bCs w:val="0"/>
                <w:snapToGrid w:val="0"/>
                <w:color w:val="000000"/>
                <w:sz w:val="15"/>
                <w:szCs w:val="15"/>
                <w:highlight w:val="none"/>
                <w:lang w:val="en-US" w:eastAsia="zh-CN" w:bidi="ar"/>
              </w:rPr>
              <w:t>、稳定实施直接补贴政策；</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r>
              <w:rPr>
                <w:rStyle w:val="27"/>
                <w:rFonts w:hint="default" w:ascii="Times New Roman" w:hAnsi="Times New Roman" w:eastAsia="宋体" w:cs="Times New Roman"/>
                <w:b w:val="0"/>
                <w:bCs w:val="0"/>
                <w:snapToGrid w:val="0"/>
                <w:color w:val="000000"/>
                <w:sz w:val="15"/>
                <w:szCs w:val="15"/>
                <w:highlight w:val="none"/>
                <w:lang w:val="en-US" w:eastAsia="zh-CN" w:bidi="ar"/>
              </w:rPr>
              <w:t>、持续推进农业绿色发展；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r>
              <w:rPr>
                <w:rStyle w:val="27"/>
                <w:rFonts w:hint="default" w:ascii="Times New Roman" w:hAnsi="Times New Roman" w:eastAsia="宋体" w:cs="Times New Roman"/>
                <w:b w:val="0"/>
                <w:bCs w:val="0"/>
                <w:snapToGrid w:val="0"/>
                <w:color w:val="000000"/>
                <w:sz w:val="15"/>
                <w:szCs w:val="15"/>
                <w:highlight w:val="none"/>
                <w:lang w:val="en-US" w:eastAsia="zh-CN" w:bidi="ar"/>
              </w:rPr>
              <w:t>、发展壮大乡村产业；</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7"/>
                <w:rFonts w:hint="default" w:ascii="Times New Roman" w:hAnsi="Times New Roman" w:eastAsia="宋体" w:cs="Times New Roman"/>
                <w:b w:val="0"/>
                <w:bCs w:val="0"/>
                <w:snapToGrid w:val="0"/>
                <w:color w:val="000000"/>
                <w:sz w:val="15"/>
                <w:szCs w:val="15"/>
                <w:highlight w:val="none"/>
                <w:lang w:val="en-US" w:eastAsia="zh-CN" w:bidi="ar"/>
              </w:rPr>
              <w:t>、大力培育新型农业经营主体；</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1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r>
              <w:rPr>
                <w:rStyle w:val="27"/>
                <w:rFonts w:hint="default" w:ascii="Times New Roman" w:hAnsi="Times New Roman" w:eastAsia="宋体" w:cs="Times New Roman"/>
                <w:b w:val="0"/>
                <w:bCs w:val="0"/>
                <w:snapToGrid w:val="0"/>
                <w:color w:val="000000"/>
                <w:sz w:val="15"/>
                <w:szCs w:val="15"/>
                <w:highlight w:val="none"/>
                <w:lang w:val="en-US" w:eastAsia="zh-CN" w:bidi="ar"/>
              </w:rPr>
              <w:t>、涉农资金统筹整合用于脱贫县。</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一级指标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二级指标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三级指标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19</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23</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24</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26</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27</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29</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绩效指标</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产出指标</w:t>
            </w: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数量指标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耕地地力保护补贴冬小麦面积（万亩）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1097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1097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59.14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61.16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158.71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29</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256.33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38.14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346.6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139.62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种粮农民一次性补贴春小麦面积（万亩）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41.7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7.7</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农机购置补贴机具数（台（套））</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48000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6200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农机报废更新机具数（台（套））</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5500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农机购置与应用补贴试点补贴机具数（台（套））</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340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农机购置与应用补贴试点作业面积（万亩）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农机购置与应用补贴试点（个）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农机研发制造推广应用一体化试点（个）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新建设优势特色产业集群数量（个）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褐牛</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褐牛、棉花</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褐牛</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棉花</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褐牛</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延续建设优势特色产业集群数量（个）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葡萄</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葡萄</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香梨、葡萄</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核桃、香梨</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葡萄</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核桃</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核桃、葡萄</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马</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新创建国家现代农业产业园数量（个）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续建国家现代农业产业园数量（个）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新创建农业产业强镇数量（个）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农业产业强镇培育主导产业数量（个）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农业生产托管服务面积（万亩）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27.1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绿色高质高效行动县数量（个）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高素质农民培育数量（人）</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25450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27430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4870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4650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3400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高素质农民技能大赛（期）</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基层农技人员培训数量（人）</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农业科技示范展示基地数量（个）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支持农民合作社数量（个）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支持家庭农场数量（个）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支持发展地理标志农产品数量（个）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农村实用人才带头人示范培训数量（个）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农产品产地冷藏保鲜设施建设数量（个）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乡村产业振兴带头人“头雁”培训数量</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支持奶牛（奶畜）家庭牧场和奶农合作社升级改造的数量（个）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高产优质苜蓿种植面积（万亩）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0.65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0.25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牧区良种补贴数量（万份牛精液单位）</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818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818.4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163.5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18.15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36.5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182.5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粮改饲结构调整面积（万亩）</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4.9</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支持国家级畜禽遗传资源保护品种单位（场、区、库）数量（个）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种畜禽生产性能测定数量（只、头）</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39533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39590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8160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29000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新增奶牛头数（头）</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240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240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奶业生产能力提升整县推进县数量（个）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优质青贮饲料收储量（万吨）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379.6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379.6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39.2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12.8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19.6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49.2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36.8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64.8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37.5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质量指标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保障粮食安全能力</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明显提升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补贴资金兑付率（</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补贴合法耕地种植小麦耕地占比（</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农作物耕种收综合机械化率（</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≥97.04%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≥99.62%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≥98.02%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≥62.42%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≥84.77%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≥86.14%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≥84.12%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≥88.11%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≥78.24%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≥73.61%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农业主推技术到位率（%）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小麦弱苗转壮及稳产增产效果</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地理标志产品签订授权使用协议并带标上市率（%）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上市地理标志农产品质量抽检合格率（%）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对标农产品地理标志生产技术规范到位率（%）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授权用标产品国家农产品质量安全追溯管理平台纳入率（%）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农村实用人才带头人示范培训合格率（%）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肉牛肉羊良种化率（%）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r>
              <w:rPr>
                <w:rStyle w:val="28"/>
                <w:rFonts w:hint="default" w:ascii="Times New Roman" w:hAnsi="Times New Roman" w:eastAsia="宋体" w:cs="Times New Roman"/>
                <w:b w:val="0"/>
                <w:bCs w:val="0"/>
                <w:snapToGrid w:val="0"/>
                <w:color w:val="000000"/>
                <w:sz w:val="15"/>
                <w:szCs w:val="15"/>
                <w:highlight w:val="none"/>
                <w:lang w:val="en-US" w:eastAsia="zh-CN" w:bidi="ar"/>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奶牛平均单产水平提高（%）</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优质高效苜蓿示范基地单产水平(公斤）</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保种场（保护区）的保种</w:t>
            </w:r>
            <w:r>
              <w:rPr>
                <w:rFonts w:hint="eastAsia" w:ascii="Times New Roman" w:hAnsi="Times New Roman" w:eastAsia="宋体" w:cs="Times New Roman"/>
                <w:b w:val="0"/>
                <w:bCs w:val="0"/>
                <w:i w:val="0"/>
                <w:iCs w:val="0"/>
                <w:snapToGrid w:val="0"/>
                <w:color w:val="000000"/>
                <w:kern w:val="0"/>
                <w:sz w:val="15"/>
                <w:szCs w:val="15"/>
                <w:highlight w:val="none"/>
                <w:u w:val="none"/>
                <w:lang w:val="en-US" w:eastAsia="zh-CN" w:bidi="ar"/>
              </w:rPr>
              <w:t>涉及</w:t>
            </w: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种群建设完成率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时效指标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耕地地力保护补贴发放时限</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畜牧业项目资金执行时效</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w:t>
            </w:r>
            <w:r>
              <w:rPr>
                <w:rStyle w:val="27"/>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30</w:t>
            </w:r>
            <w:r>
              <w:rPr>
                <w:rStyle w:val="27"/>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畜牧补贴资金兑付率（%）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种粮农民一次性补贴发放时限</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r>
              <w:rPr>
                <w:rStyle w:val="29"/>
                <w:rFonts w:hint="default" w:ascii="Times New Roman" w:hAnsi="Times New Roman" w:eastAsia="宋体" w:cs="Times New Roman"/>
                <w:b w:val="0"/>
                <w:bCs w:val="0"/>
                <w:snapToGrid w:val="0"/>
                <w:color w:val="000000"/>
                <w:sz w:val="15"/>
                <w:szCs w:val="15"/>
                <w:highlight w:val="none"/>
                <w:lang w:val="en-US" w:eastAsia="zh-CN" w:bidi="ar"/>
              </w:rPr>
              <w:t>月</w:t>
            </w:r>
            <w:r>
              <w:rPr>
                <w:rStyle w:val="28"/>
                <w:rFonts w:hint="default" w:ascii="Times New Roman" w:hAnsi="Times New Roman" w:eastAsia="宋体" w:cs="Times New Roman"/>
                <w:b w:val="0"/>
                <w:bCs w:val="0"/>
                <w:snapToGrid w:val="0"/>
                <w:color w:val="000000"/>
                <w:sz w:val="15"/>
                <w:szCs w:val="15"/>
                <w:highlight w:val="none"/>
                <w:lang w:val="en-US" w:eastAsia="zh-CN" w:bidi="ar"/>
              </w:rPr>
              <w:t>15</w:t>
            </w:r>
            <w:r>
              <w:rPr>
                <w:rStyle w:val="29"/>
                <w:rFonts w:hint="default" w:ascii="Times New Roman" w:hAnsi="Times New Roman" w:eastAsia="宋体" w:cs="Times New Roman"/>
                <w:b w:val="0"/>
                <w:bCs w:val="0"/>
                <w:snapToGrid w:val="0"/>
                <w:color w:val="000000"/>
                <w:sz w:val="15"/>
                <w:szCs w:val="15"/>
                <w:highlight w:val="none"/>
                <w:lang w:val="en-US" w:eastAsia="zh-CN" w:bidi="ar"/>
              </w:rPr>
              <w:t>日前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农机购置补贴年度资金兑付率（</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成本指标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高素质农民培训实行信息化管理和服务（%）</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绿色高质高效创建项目区节本增效水平（%）</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良种畜使用成本降低（%）</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效益指标</w:t>
            </w: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经济效益指标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种粮农民受益</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农业信贷担保业务规模</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稳健发展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稳健发展</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稳健发展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新增奶产能（吨）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3300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3080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660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440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660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660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增加优质苜蓿干草量（万吨）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0.316</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0.277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0.257</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0.158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0.099</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0.198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0.395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社会效益指标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种粮农民积极性</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有所提高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服务小农户面积和服务规模经营水平</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农民合作社示范社和示范家庭农场发展水平和带动能力</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资金使用重大违规违纪问题（有</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无）</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生态效益指标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推广应用农业绿色高质高效技术模式（个）</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可持续影响指标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高素质农民生产经营能力和带动能力</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明显增强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养殖场户使用优质青贮饲料后日均饲料综合成本较使用前降低（%）</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改良后畜种后代品质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保种场（保护区）畜禽遗传资源保护能力</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显著提高</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地理标志农产品独特的优良品质特性</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有效保持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满意度指标</w:t>
            </w:r>
          </w:p>
        </w:tc>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服务对象满意度指标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高素质农民培育满意度（%）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农业科技示范主体满意度（%）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农业技术推广服务对象满意度（%）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新型经营主体对农业生产发展资金项目实施的满意度（%）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新型经营主体和小农户对农业生产社会化服务的满意度(%)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耕地地力保护补贴政策群众满意度（</w:t>
            </w:r>
            <w:r>
              <w:rPr>
                <w:rStyle w:val="28"/>
                <w:rFonts w:hint="default" w:ascii="Times New Roman" w:hAnsi="Times New Roman" w:eastAsia="宋体" w:cs="Times New Roman"/>
                <w:b w:val="0"/>
                <w:bCs w:val="0"/>
                <w:snapToGrid w:val="0"/>
                <w:color w:val="000000"/>
                <w:sz w:val="15"/>
                <w:szCs w:val="15"/>
                <w:highlight w:val="none"/>
                <w:lang w:val="en-US" w:eastAsia="zh-CN" w:bidi="ar"/>
              </w:rPr>
              <w:t>%</w:t>
            </w:r>
            <w:r>
              <w:rPr>
                <w:rStyle w:val="27"/>
                <w:rFonts w:hint="default" w:ascii="Times New Roman" w:hAnsi="Times New Roman" w:eastAsia="宋体" w:cs="Times New Roman"/>
                <w:b w:val="0"/>
                <w:bCs w:val="0"/>
                <w:snapToGrid w:val="0"/>
                <w:color w:val="000000"/>
                <w:sz w:val="15"/>
                <w:szCs w:val="15"/>
                <w:highlight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种粮主体对一次性补贴的满意度（%）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实施主体对粮改饲政策满意度（%）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5"/>
                <w:szCs w:val="15"/>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农民对项目实施满意度（%）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highlight w:val="none"/>
                <w:u w:val="none"/>
              </w:rPr>
            </w:pPr>
            <w:r>
              <w:rPr>
                <w:rFonts w:hint="default" w:ascii="Times New Roman" w:hAnsi="Times New Roman" w:eastAsia="宋体" w:cs="Times New Roman"/>
                <w:b w:val="0"/>
                <w:bCs w:val="0"/>
                <w:i w:val="0"/>
                <w:iCs w:val="0"/>
                <w:snapToGrid w:val="0"/>
                <w:color w:val="000000"/>
                <w:kern w:val="0"/>
                <w:sz w:val="15"/>
                <w:szCs w:val="15"/>
                <w:highlight w:val="none"/>
                <w:u w:val="none"/>
                <w:lang w:val="en-US" w:eastAsia="zh-CN" w:bidi="ar"/>
              </w:rPr>
              <w:t>≥85%</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5"/>
                <w:szCs w:val="15"/>
                <w:highlight w:val="none"/>
                <w:u w:val="none"/>
              </w:rPr>
            </w:pPr>
          </w:p>
        </w:tc>
      </w:tr>
    </w:tbl>
    <w:p>
      <w:pPr>
        <w:pStyle w:val="15"/>
        <w:jc w:val="center"/>
        <w:rPr>
          <w:rFonts w:hint="default" w:ascii="Times New Roman" w:hAnsi="Times New Roman" w:eastAsia="宋体" w:cs="Times New Roman"/>
          <w:b/>
          <w:bCs/>
          <w:color w:val="auto"/>
          <w:sz w:val="28"/>
          <w:szCs w:val="28"/>
          <w:highlight w:val="none"/>
          <w:lang w:bidi="ar"/>
        </w:rPr>
      </w:pPr>
    </w:p>
    <w:p>
      <w:pPr>
        <w:pStyle w:val="15"/>
        <w:jc w:val="center"/>
        <w:rPr>
          <w:rFonts w:hint="default" w:ascii="Times New Roman" w:hAnsi="Times New Roman" w:eastAsia="宋体" w:cs="Times New Roman"/>
          <w:b/>
          <w:bCs/>
          <w:color w:val="auto"/>
          <w:sz w:val="28"/>
          <w:szCs w:val="28"/>
          <w:highlight w:val="none"/>
          <w:lang w:bidi="ar"/>
        </w:rPr>
        <w:sectPr>
          <w:pgSz w:w="16790" w:h="11910"/>
          <w:pgMar w:top="720" w:right="720" w:bottom="720" w:left="720" w:header="0" w:footer="323" w:gutter="0"/>
          <w:pgNumType w:fmt="decimal"/>
          <w:cols w:space="720" w:num="1"/>
        </w:sect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二、绩效情况分析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（一）资金投入情况分析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1.项目资金到位情况分析</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年度，财政部</w:t>
      </w:r>
      <w:r>
        <w:rPr>
          <w:rFonts w:hint="default" w:ascii="Times New Roman" w:hAnsi="Times New Roman" w:eastAsia="仿宋_GB2312" w:cs="Times New Roman"/>
          <w:color w:val="auto"/>
          <w:sz w:val="32"/>
          <w:szCs w:val="32"/>
          <w:highlight w:val="none"/>
          <w:lang w:val="en-US" w:eastAsia="zh-CN"/>
        </w:rPr>
        <w:t>共</w:t>
      </w:r>
      <w:r>
        <w:rPr>
          <w:rFonts w:hint="default" w:ascii="Times New Roman" w:hAnsi="Times New Roman" w:eastAsia="仿宋_GB2312" w:cs="Times New Roman"/>
          <w:color w:val="auto"/>
          <w:sz w:val="32"/>
          <w:szCs w:val="32"/>
          <w:highlight w:val="none"/>
        </w:rPr>
        <w:t>下达我区202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年农业生产发展资金共计</w:t>
      </w:r>
      <w:r>
        <w:rPr>
          <w:rFonts w:hint="default" w:ascii="Times New Roman" w:hAnsi="Times New Roman" w:eastAsia="仿宋_GB2312" w:cs="Times New Roman"/>
          <w:color w:val="auto"/>
          <w:sz w:val="32"/>
          <w:szCs w:val="32"/>
          <w:highlight w:val="none"/>
          <w:lang w:val="en-US" w:eastAsia="zh-CN"/>
        </w:rPr>
        <w:t>612085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资金到位612085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资金到位率100%。</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其中：</w:t>
      </w:r>
      <w:r>
        <w:rPr>
          <w:rFonts w:hint="default"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rPr>
        <w:t>29</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《财政部关于提前下达202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年农业相关转移支付资金预算的通知》（财农〔202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114</w:t>
      </w:r>
      <w:r>
        <w:rPr>
          <w:rFonts w:hint="default" w:ascii="Times New Roman" w:hAnsi="Times New Roman" w:eastAsia="仿宋_GB2312" w:cs="Times New Roman"/>
          <w:color w:val="auto"/>
          <w:sz w:val="32"/>
          <w:szCs w:val="32"/>
          <w:highlight w:val="none"/>
        </w:rPr>
        <w:t>号文）下达334641万元。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2年3月11日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实际种粮农民一次性补贴资金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号文）下达</w:t>
      </w:r>
      <w:r>
        <w:rPr>
          <w:rFonts w:hint="default" w:ascii="Times New Roman" w:hAnsi="Times New Roman" w:eastAsia="仿宋_GB2312" w:cs="Times New Roman"/>
          <w:color w:val="auto"/>
          <w:sz w:val="32"/>
          <w:szCs w:val="32"/>
          <w:highlight w:val="none"/>
          <w:lang w:val="en-US" w:eastAsia="zh-CN"/>
        </w:rPr>
        <w:t>38356</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2年3月</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5日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号文）下达</w:t>
      </w:r>
      <w:r>
        <w:rPr>
          <w:rFonts w:hint="default" w:ascii="Times New Roman" w:hAnsi="Times New Roman" w:eastAsia="仿宋_GB2312" w:cs="Times New Roman"/>
          <w:color w:val="auto"/>
          <w:sz w:val="32"/>
          <w:szCs w:val="32"/>
          <w:highlight w:val="none"/>
          <w:lang w:val="en-US" w:eastAsia="zh-CN"/>
        </w:rPr>
        <w:t>10000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2年4月19日</w:t>
      </w:r>
      <w:r>
        <w:rPr>
          <w:rFonts w:hint="default" w:ascii="Times New Roman" w:hAnsi="Times New Roman" w:eastAsia="仿宋_GB2312" w:cs="Times New Roman"/>
          <w:color w:val="auto"/>
          <w:sz w:val="32"/>
          <w:szCs w:val="32"/>
          <w:highlight w:val="none"/>
        </w:rPr>
        <w:t>《财政部关于下达202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年农业</w:t>
      </w:r>
      <w:r>
        <w:rPr>
          <w:rFonts w:hint="default" w:ascii="Times New Roman" w:hAnsi="Times New Roman" w:eastAsia="仿宋_GB2312" w:cs="Times New Roman"/>
          <w:color w:val="auto"/>
          <w:sz w:val="32"/>
          <w:szCs w:val="32"/>
          <w:highlight w:val="none"/>
          <w:lang w:val="en-US" w:eastAsia="zh-CN"/>
        </w:rPr>
        <w:t>生产发展资金</w:t>
      </w:r>
      <w:r>
        <w:rPr>
          <w:rFonts w:hint="default" w:ascii="Times New Roman" w:hAnsi="Times New Roman" w:eastAsia="仿宋_GB2312" w:cs="Times New Roman"/>
          <w:color w:val="auto"/>
          <w:sz w:val="32"/>
          <w:szCs w:val="32"/>
          <w:highlight w:val="none"/>
        </w:rPr>
        <w:t>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号文）下达</w:t>
      </w:r>
      <w:r>
        <w:rPr>
          <w:rFonts w:hint="default" w:ascii="Times New Roman" w:hAnsi="Times New Roman" w:eastAsia="仿宋_GB2312" w:cs="Times New Roman"/>
          <w:color w:val="auto"/>
          <w:sz w:val="32"/>
          <w:szCs w:val="32"/>
          <w:highlight w:val="none"/>
          <w:lang w:val="en-US" w:eastAsia="zh-CN"/>
        </w:rPr>
        <w:t>191960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2年5月21日</w:t>
      </w:r>
      <w:r>
        <w:rPr>
          <w:rFonts w:hint="default" w:ascii="Times New Roman" w:hAnsi="Times New Roman" w:eastAsia="仿宋_GB2312" w:cs="Times New Roman"/>
          <w:color w:val="auto"/>
          <w:sz w:val="32"/>
          <w:szCs w:val="32"/>
          <w:highlight w:val="none"/>
        </w:rPr>
        <w:t>《财政部关于再次下达2022年实际种粮农民一次性补贴资金预算的通知》（财农〔202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号文）下达</w:t>
      </w:r>
      <w:r>
        <w:rPr>
          <w:rFonts w:hint="default" w:ascii="Times New Roman" w:hAnsi="Times New Roman" w:eastAsia="仿宋_GB2312" w:cs="Times New Roman"/>
          <w:color w:val="auto"/>
          <w:sz w:val="32"/>
          <w:szCs w:val="32"/>
          <w:highlight w:val="none"/>
          <w:lang w:val="en-US" w:eastAsia="zh-CN"/>
        </w:rPr>
        <w:t>17260</w:t>
      </w:r>
      <w:r>
        <w:rPr>
          <w:rFonts w:hint="default" w:ascii="Times New Roman" w:hAnsi="Times New Roman" w:eastAsia="仿宋_GB2312" w:cs="Times New Roman"/>
          <w:color w:val="auto"/>
          <w:sz w:val="32"/>
          <w:szCs w:val="32"/>
          <w:highlight w:val="none"/>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2022年8月29日《财政部关于再次下达2022年实际种粮农民一次性补贴资金预算的通知》（财农〔2022〕74号文）下达19868万元。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年4月26日根据《关于下达2022年中央农业生产发展资金预算的通知》（新财农〔2022〕27号文）2022年5月22日《关于下达2022年中央农业生产发展资金预算的通知》（新财农〔2022〕36号文）共计将32986.4万元统筹整合支持脱贫攻坚。实际用于农业生产发展资金579098.6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2.项目资金执行情况分析</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截止2022年12月31日，2022年度用于农业生产发展资金总计579098.6万元，共计执行</w:t>
      </w:r>
      <w:r>
        <w:rPr>
          <w:rFonts w:hint="eastAsia" w:ascii="Times New Roman" w:hAnsi="Times New Roman" w:eastAsia="仿宋_GB2312" w:cs="Times New Roman"/>
          <w:color w:val="auto"/>
          <w:sz w:val="32"/>
          <w:szCs w:val="32"/>
          <w:highlight w:val="none"/>
          <w:lang w:val="en-US" w:eastAsia="zh-CN"/>
        </w:rPr>
        <w:t>519788.01</w:t>
      </w:r>
      <w:r>
        <w:rPr>
          <w:rFonts w:hint="default" w:ascii="Times New Roman" w:hAnsi="Times New Roman" w:eastAsia="仿宋_GB2312" w:cs="Times New Roman"/>
          <w:color w:val="auto"/>
          <w:sz w:val="32"/>
          <w:szCs w:val="32"/>
          <w:highlight w:val="none"/>
          <w:lang w:val="en-US" w:eastAsia="zh-CN"/>
        </w:rPr>
        <w:t>万元，执行率</w:t>
      </w:r>
      <w:r>
        <w:rPr>
          <w:rFonts w:hint="eastAsia" w:ascii="Times New Roman" w:hAnsi="Times New Roman" w:eastAsia="仿宋_GB2312" w:cs="Times New Roman"/>
          <w:color w:val="auto"/>
          <w:sz w:val="32"/>
          <w:szCs w:val="32"/>
          <w:highlight w:val="none"/>
          <w:lang w:val="en-US" w:eastAsia="zh-CN"/>
        </w:rPr>
        <w:t>89.76</w:t>
      </w:r>
      <w:r>
        <w:rPr>
          <w:rFonts w:hint="default" w:ascii="Times New Roman" w:hAnsi="Times New Roman" w:eastAsia="仿宋_GB2312" w:cs="Times New Roman"/>
          <w:color w:val="auto"/>
          <w:sz w:val="32"/>
          <w:szCs w:val="32"/>
          <w:highlight w:val="none"/>
          <w:lang w:val="en-US" w:eastAsia="zh-CN"/>
        </w:rPr>
        <w:t>%。具体如下：</w:t>
      </w:r>
    </w:p>
    <w:p>
      <w:pPr>
        <w:pStyle w:val="5"/>
        <w:spacing w:after="0"/>
        <w:ind w:firstLine="0" w:firstLineChars="0"/>
        <w:jc w:val="center"/>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2022年农业生产发展资金执行情况表</w:t>
      </w:r>
    </w:p>
    <w:tbl>
      <w:tblPr>
        <w:tblStyle w:val="13"/>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1"/>
        <w:gridCol w:w="2957"/>
        <w:gridCol w:w="1391"/>
        <w:gridCol w:w="1391"/>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地州</w:t>
            </w:r>
            <w:r>
              <w:rPr>
                <w:rStyle w:val="18"/>
                <w:rFonts w:hint="default" w:ascii="Times New Roman" w:hAnsi="Times New Roman" w:eastAsia="宋体" w:cs="Times New Roman"/>
                <w:snapToGrid w:val="0"/>
                <w:color w:val="000000"/>
                <w:highlight w:val="none"/>
                <w:lang w:val="en-US" w:eastAsia="zh-CN" w:bidi="ar"/>
              </w:rPr>
              <w:t>/</w:t>
            </w:r>
            <w:r>
              <w:rPr>
                <w:rStyle w:val="19"/>
                <w:rFonts w:hint="default" w:ascii="Times New Roman" w:hAnsi="Times New Roman" w:cs="Times New Roman"/>
                <w:snapToGrid w:val="0"/>
                <w:color w:val="000000"/>
                <w:highlight w:val="none"/>
                <w:lang w:val="en-US" w:eastAsia="zh-CN" w:bidi="ar"/>
              </w:rPr>
              <w:t>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分配数（万元）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执行数（万元）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伊犁州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59105.4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48037.49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塔城地区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41695.75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37791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阿勒泰地区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18013.7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13254.89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昌吉州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72501.95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64100.51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乌鲁木齐市</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7226.4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2149.6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克拉玛依市</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739.82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714.49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博州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16500.85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14790.6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吐鲁番市</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2086.5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2011.04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哈密市</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6618.2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6618.2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巴州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42312.35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34969.19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阿克苏地区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111108.4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106202.07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克州</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13764.4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13764.4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喀什地区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108147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108147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和田地区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42095.88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42095.88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新疆农业信贷融资担保有限责任公司</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18451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12676.71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新疆畜牧科学院畜牧所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新疆畜牧科学院畜牧业质量标准研究所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自治区动物疾病预防控制中心 （自治区动物卫生监督所）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自治区畜牧总站</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880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自治区农业农村机械化发展中心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9550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5370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自治区农业机械化信息中心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自治区农牧业机械产品质量监督管理站</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3100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新疆农业大学</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1278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1186.35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92.83%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西北农林科技大学（</w:t>
            </w:r>
            <w:r>
              <w:rPr>
                <w:rStyle w:val="22"/>
                <w:rFonts w:hint="default" w:ascii="Times New Roman" w:hAnsi="Times New Roman" w:cs="Times New Roman"/>
                <w:snapToGrid w:val="0"/>
                <w:color w:val="000000"/>
                <w:highlight w:val="none"/>
                <w:lang w:val="en-US" w:eastAsia="zh-CN" w:bidi="ar"/>
              </w:rPr>
              <w:t>农业农村厅办公室）</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华中农业大学（</w:t>
            </w:r>
            <w:r>
              <w:rPr>
                <w:rStyle w:val="22"/>
                <w:rFonts w:hint="default" w:ascii="Times New Roman" w:hAnsi="Times New Roman" w:cs="Times New Roman"/>
                <w:snapToGrid w:val="0"/>
                <w:color w:val="000000"/>
                <w:highlight w:val="none"/>
                <w:lang w:val="en-US" w:eastAsia="zh-CN" w:bidi="ar"/>
              </w:rPr>
              <w:t>农业农村厅办公室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新疆大学</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新疆医科大学</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石河子大学（</w:t>
            </w:r>
            <w:r>
              <w:rPr>
                <w:rStyle w:val="22"/>
                <w:rFonts w:hint="default" w:ascii="Times New Roman" w:hAnsi="Times New Roman" w:cs="Times New Roman"/>
                <w:snapToGrid w:val="0"/>
                <w:color w:val="000000"/>
                <w:highlight w:val="none"/>
                <w:lang w:val="en-US" w:eastAsia="zh-CN" w:bidi="ar"/>
              </w:rPr>
              <w:t>农业农村厅办公室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6.59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29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新疆农业职业技术学院</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858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858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30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新疆农业广播电视学校</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highlight w:val="none"/>
                <w:u w:val="none"/>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132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67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5"/>
                <w:szCs w:val="15"/>
                <w:highlight w:val="none"/>
                <w:u w:val="none"/>
                <w:lang w:val="en-US" w:eastAsia="zh-CN" w:bidi="ar"/>
              </w:rPr>
            </w:pPr>
            <w:r>
              <w:rPr>
                <w:rFonts w:hint="default" w:ascii="Times New Roman" w:hAnsi="Times New Roman" w:eastAsia="宋体" w:cs="Times New Roman"/>
                <w:i w:val="0"/>
                <w:iCs w:val="0"/>
                <w:snapToGrid w:val="0"/>
                <w:color w:val="000000"/>
                <w:kern w:val="0"/>
                <w:sz w:val="15"/>
                <w:szCs w:val="15"/>
                <w:highlight w:val="none"/>
                <w:u w:val="none"/>
                <w:lang w:val="en-US" w:eastAsia="zh-CN" w:bidi="ar"/>
              </w:rPr>
              <w:t>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合计</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highlight w:val="none"/>
                <w:u w:val="none"/>
              </w:rPr>
            </w:pP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579098.6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pPr>
            <w:r>
              <w:rPr>
                <w:rFonts w:hint="eastAsia" w:ascii="Times New Roman" w:hAnsi="Times New Roman" w:eastAsia="宋体" w:cs="Times New Roman"/>
                <w:b/>
                <w:bCs/>
                <w:i w:val="0"/>
                <w:iCs w:val="0"/>
                <w:snapToGrid w:val="0"/>
                <w:color w:val="000000"/>
                <w:kern w:val="0"/>
                <w:sz w:val="15"/>
                <w:szCs w:val="15"/>
                <w:highlight w:val="none"/>
                <w:u w:val="none"/>
                <w:lang w:val="en-US" w:eastAsia="zh-CN" w:bidi="ar"/>
              </w:rPr>
              <w:t>519788.01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pPr>
            <w:r>
              <w:rPr>
                <w:rFonts w:hint="eastAsia" w:ascii="Times New Roman" w:hAnsi="Times New Roman" w:eastAsia="宋体" w:cs="Times New Roman"/>
                <w:b/>
                <w:bCs/>
                <w:i w:val="0"/>
                <w:iCs w:val="0"/>
                <w:snapToGrid w:val="0"/>
                <w:color w:val="000000"/>
                <w:kern w:val="0"/>
                <w:sz w:val="15"/>
                <w:szCs w:val="15"/>
                <w:highlight w:val="none"/>
                <w:u w:val="none"/>
                <w:lang w:val="en-US" w:eastAsia="zh-CN" w:bidi="ar"/>
              </w:rPr>
              <w:t>89.76</w:t>
            </w:r>
            <w:r>
              <w:rPr>
                <w:rFonts w:hint="default" w:ascii="Times New Roman" w:hAnsi="Times New Roman" w:eastAsia="宋体" w:cs="Times New Roman"/>
                <w:b/>
                <w:bCs/>
                <w:i w:val="0"/>
                <w:iCs w:val="0"/>
                <w:snapToGrid w:val="0"/>
                <w:color w:val="000000"/>
                <w:kern w:val="0"/>
                <w:sz w:val="15"/>
                <w:szCs w:val="15"/>
                <w:highlight w:val="none"/>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sz w:val="32"/>
          <w:szCs w:val="32"/>
          <w:highlight w:val="none"/>
          <w:lang w:val="en-US" w:eastAsia="zh-Hans"/>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项目资金管理情况分析</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1.资金分配科学性：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一要突出重点。聚焦党中央、国务院，自治区党委、政府以及农业农村部关于农业农村高质量发展的重大决策部署，围绕农业农村领域重点目标任务，主动跟上去、迎上去、落下去，确保为重大决策、重大政策、重大部署、重点任务落地落实提供资金保障和有力支撑。二要强化对比分析。说明当前分配资金的性质、来源、额度、投资方向、实施期限等基本情况，并与上年进行比较分析，研究变化趋势，形成有对比、有分析的资金分配方案，更好体现支持的必要性和突出效果。三是要提出约束性要求。对照资金分配使用需要达到的目标、任务、效果等，明确实施主体必须完成哪些绩效指标、约束指标、硬性指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我区粮食主导品种，确定为种植冬、春小麦的生产者。根据各地州种植情况分配资金。补贴标准为：按照小麦种植面积应补尽补的原则，按照219元/亩的标准优先保障春小麦面积增加部分；其余资金按照10元/亩的补贴标准，对小麦种植面积进行补贴。补贴方式：本次实际种粮农民一次性补贴与耕地地力保护补贴统筹使用，耕地地力保护补贴资金存在结余的地区，可与此次安排的一次性补贴资金一并统筹发放，提高资金使用效益。综上，新疆农业生产发展资金分配额度合理，资金分配依据充分。</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2.资金下达及时性：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2021年10月29日《财政部关于提前下达2022年农业相关转移支付资金预算的通知》（财农〔2021〕114号文）下达334641万元。2022年3月11日《财政部关于下达2022年实际种粮农民一次性补贴资金预算的通知》（财农〔2022〕16号文）下达38356万元。2022年3月25日《财政部关于下达2022年农业生产发展资金预算的通知》（财农〔2022〕24号文）下达10000万元。2022年4月19日《财政部关于下达2022年农业生产发展资金预算的通知》（财农〔2022〕38号文）下达191960万元。2022年4月26日根据《关于下达2022年中央农业生产发展资金预算的通知》（新财农〔2022〕27号文）2022年5月22日《关于下达2022年中央农业生产发展资金预算的通知》（新财农〔2022〕36号文）共计将32986.4万元统筹整合支持脱贫攻坚。实际用于农业生产发展资金579098.6万元，分解下达各地州，资金分解下达及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2022年5月21日《财政部关于再次下达2022年实际种粮农民一次性补贴资金预算的通知》（财农〔2022〕46号文）下达新疆种粮农民一次性补贴资金项目17260万元。2022年6月16日《关于再次下达2022年中央实际种粮农民一次性补贴资金预算的通知》（新财农〔2022〕41号文）资金分解下达及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2022年8月26日《财政部关于再次下达2022年实际种粮农民一次性补贴资金预算的通知》（财农〔2022〕74号文）下达新疆种粮农民一次性补贴资金项目19868万元。2022年9月20日《关于再次下达2022年中央实际种粮农民一次性补贴资金预算的通知》（新财农〔2022〕68号文）资金分解下达及时。</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3.资金拨付合规性：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财政部关于提前下达2022年农业相关转移支付资金预算的通知》（财农〔2021〕114号文），《财政部关于下达2022年实际种粮农民一次性补贴资金预算的通知》（财农〔2022〕16号文），2022年3月25日《财政部关于下达2022年农业生产发展资金预算的通知》（财农〔2022〕24号文），《财政部关于下达2022年农业生产发展资金预算的通知》（财农〔2022〕38号文），《财政部关于再次下达2022年实际种粮农民一次性补贴资金预算的通知》（财农〔2022〕46号文），《财政部关于再次下达2022年实际种粮农民一次性补贴资金预算的通知》（财农〔2022〕74号文）等文件拨付资金，资金拨付合规。</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4.资金使用规范性：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按照《新疆维吾尔自治区财政厅 农业农村厅关于印发&lt;新疆维吾尔自治区农业生产发展资金管理办法&gt;的通知》（新财规〔2020〕17号文）等文件使用资金，资金使用合规。在中央巡视、各级审计和财政监督中未发现问题。</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highlight w:val="none"/>
          <w:lang w:val="en-US" w:eastAsia="zh-CN"/>
        </w:rPr>
      </w:pPr>
      <w:r>
        <w:rPr>
          <w:rFonts w:hint="default" w:ascii="Times New Roman" w:hAnsi="Times New Roman" w:eastAsia="仿宋_GB2312" w:cs="Times New Roman"/>
          <w:b w:val="0"/>
          <w:i w:val="0"/>
          <w:spacing w:val="0"/>
          <w:w w:val="100"/>
          <w:sz w:val="32"/>
          <w:szCs w:val="24"/>
          <w:highlight w:val="none"/>
          <w:u w:val="none"/>
          <w:lang w:val="en-US" w:eastAsia="zh-CN"/>
        </w:rPr>
        <w:t>实际种粮农民一次性补贴政策的实施涉及农民切身利益，关系重大，各地各部门加强组织领导，建立了“主要领导亲自抓，分管领导具体抓，职能处室主动抓”的工作机制。各地州财政局负责落实补贴资金预算、会同农业农村部门制定补贴资金分配方案、拨付补贴资金、监督检查补贴资金使用情况。农业农村局负责组织补贴面积核实和监管工作。其他有关部门协同配合，形成合力，加快推进。及时制定方案。自治区农业农村厅、财政厅通力协作，结合我区种植业发展和补贴资金总量实际，将本次补贴资金用于补齐各地计划种植与实际种植的冬小麦、春小麦和正播籽粒玉米面积差异造成的补贴资金缺口，联合制定并下发《关于印发〈自治区2022年实际种粮农民一次性补贴政策实施方案〉的通知》，对补贴政策实施进行全面的安排部署，并将补贴资金及时拨付至各地州财政，确保了我区补贴政策的顺利实施。规范制度建设。认真贯彻落实《财政部等7部委关于开展惠民惠农财政补贴“一卡通”专项治理的实施意见》《自治区人民政府关于开展自治区惠民惠农财政补贴资金“一卡通”专项治理工作的通知》精神，对实际种粮农民一次性补贴实行严格管理，在原有补贴发放程序基础上，建立补贴定期调度制度，明确各级各部门工作职责，真正形成了一级抓一级，层层抓落实的良好工作格局。强化协调配合。各级财政、农业农村部门不断加强协调配合做好补贴面积申报、核实等工作，确保资金及时拨付。严格执行财政补贴资金专户管理制度，切实加强监管，确保补贴资金专款专用。强化监督检查。坚持上下联动，督促各地加快推进补贴发放进度，认真自查补贴资金分配，监督管理以及违规发放等方面问题，防止出现虚报冒领、重复享受等问题，切实保障农民种粮基本权益。并于3月组成由厅领导带队5个工作组分赴全区粮食主产地州，指导服务各地开展农业生产工作，重点了解2022年实际种粮农民一次性补贴资金兑付情况，了解各地在项目资金拨付、执行及项目建设中存在的问题和建议，切实保障了补贴资金规范、有序发放。</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5.资金执行准确性：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按照《新疆维吾尔自治区财政厅 农业农村厅关于印发&lt;新疆维吾尔自治区农业生产发展资金管理办法&gt;的通知》（新财规〔2020〕17号文）等文件执行资金，资金执行合规。</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b w:val="0"/>
          <w:i w:val="0"/>
          <w:spacing w:val="0"/>
          <w:w w:val="100"/>
          <w:sz w:val="32"/>
          <w:szCs w:val="24"/>
          <w:highlight w:val="none"/>
          <w:u w:val="none"/>
          <w:lang w:val="en-US" w:eastAsia="zh-CN"/>
        </w:rPr>
      </w:pPr>
      <w:r>
        <w:rPr>
          <w:rFonts w:hint="default" w:ascii="Times New Roman" w:hAnsi="Times New Roman" w:eastAsia="仿宋_GB2312" w:cs="Times New Roman"/>
          <w:b w:val="0"/>
          <w:i w:val="0"/>
          <w:spacing w:val="0"/>
          <w:w w:val="100"/>
          <w:sz w:val="32"/>
          <w:szCs w:val="24"/>
          <w:highlight w:val="none"/>
          <w:u w:val="none"/>
          <w:lang w:val="en-US" w:eastAsia="zh-CN"/>
        </w:rPr>
        <w:t>我区耕地地力保护补贴政策与今年粮食生产直接挂钩，依据小麦实际种植面积确定的补贴资金发放：在补贴程序上严格执行补贴资金专户治理制度，落实补贴兑付“一卡通”，确保补贴资金封闭运行，直达农户个人账户，严格落实农户申报、村级公示、镇街道汇总审核、市级农林、财政部门最终审核程序；实行村、镇街道和市级部门分级负责制，并做好补贴原始资料存档备查工作，切实提高补贴对象、种粮面积的精确性和真实性。</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b w:val="0"/>
          <w:i w:val="0"/>
          <w:spacing w:val="0"/>
          <w:w w:val="100"/>
          <w:sz w:val="32"/>
          <w:szCs w:val="24"/>
          <w:highlight w:val="none"/>
          <w:u w:val="none"/>
          <w:lang w:val="en-US" w:eastAsia="zh-CN"/>
        </w:rPr>
      </w:pPr>
      <w:r>
        <w:rPr>
          <w:rFonts w:hint="default" w:ascii="Times New Roman" w:hAnsi="Times New Roman" w:eastAsia="仿宋_GB2312" w:cs="Times New Roman"/>
          <w:b w:val="0"/>
          <w:i w:val="0"/>
          <w:spacing w:val="0"/>
          <w:w w:val="100"/>
          <w:sz w:val="32"/>
          <w:szCs w:val="24"/>
          <w:highlight w:val="none"/>
          <w:u w:val="none"/>
          <w:lang w:val="en-US" w:eastAsia="zh-CN"/>
        </w:rPr>
        <w:t>在加大补贴政策宣传力度的基础上，农业农村厅坚持问题导向，建立区、地、县、乡、村五级耕地地力保护补贴信息公开制度。依托广播电视、宣传手册和微信公众号等多种形式，对外公布补贴问题监督举报电话和补贴政策咨询电话，向社会各界释疑解惑，对受理政策咨询业务全部落实现场讲解，并转交属地核实，由基层农业部门出具核实报告，群众满意度达100%。未出现骗取、套取、贪污、挤占、挪用耕地地力保护补贴资金的举报、上访等集体事件，营造了良好的舆论氛围和社会环境。</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6.预算绩效管理情况：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按照《中共中央国务院关于全面实施预算绩效管理的意见》、《关于印发&lt;自治区本级部门预算绩效目标管理办法&gt;的通知》（新财预〔2017〕21号)、《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lang w:val="en-US" w:eastAsia="zh-CN"/>
        </w:rPr>
        <w:t>按</w:t>
      </w:r>
      <w:r>
        <w:rPr>
          <w:rFonts w:hint="default" w:ascii="Times New Roman" w:hAnsi="Times New Roman" w:eastAsia="仿宋_GB2312" w:cs="Times New Roman"/>
          <w:sz w:val="32"/>
          <w:szCs w:val="32"/>
          <w:highlight w:val="none"/>
          <w:lang w:val="en-US" w:eastAsia="zh-Hans"/>
        </w:rPr>
        <w:t>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财政部 农业农村部关于修订农业相关转移支付资金管理办法的通知</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CN"/>
        </w:rPr>
        <w:t>财农〔2022〕25号</w:t>
      </w:r>
      <w:r>
        <w:rPr>
          <w:rFonts w:hint="default" w:ascii="Times New Roman" w:hAnsi="Times New Roman" w:eastAsia="仿宋_GB2312" w:cs="Times New Roman"/>
          <w:sz w:val="32"/>
          <w:szCs w:val="32"/>
          <w:highlight w:val="none"/>
          <w:lang w:val="en-US" w:eastAsia="zh-Hans"/>
        </w:rPr>
        <w:t>的要求</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根据自治区党委分管领导要求</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建立“十天一调度”制度</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通过线上填报</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电话询问等方式</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及时掌握集群建设项目的实施进度</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督促各地按时推进项目建设任务落实落地</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针对吐鲁番市</w:t>
      </w:r>
      <w:r>
        <w:rPr>
          <w:rFonts w:hint="default" w:ascii="Times New Roman" w:hAnsi="Times New Roman" w:eastAsia="仿宋_GB2312" w:cs="Times New Roman"/>
          <w:sz w:val="32"/>
          <w:szCs w:val="32"/>
          <w:highlight w:val="none"/>
          <w:lang w:val="en-US" w:eastAsia="zh-CN"/>
        </w:rPr>
        <w:t>中央财政专项资金执行进度</w:t>
      </w:r>
      <w:r>
        <w:rPr>
          <w:rFonts w:hint="default" w:ascii="Times New Roman" w:hAnsi="Times New Roman" w:eastAsia="仿宋_GB2312" w:cs="Times New Roman"/>
          <w:sz w:val="32"/>
          <w:szCs w:val="32"/>
          <w:highlight w:val="none"/>
          <w:lang w:val="en-US" w:eastAsia="zh-Hans"/>
        </w:rPr>
        <w:t>缓慢情况</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我处以电话</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会议</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Hans"/>
        </w:rPr>
        <w:t>书面等形式多次督促</w:t>
      </w:r>
      <w:r>
        <w:rPr>
          <w:rFonts w:hint="default" w:ascii="Times New Roman" w:hAnsi="Times New Roman" w:eastAsia="仿宋_GB2312" w:cs="Times New Roman"/>
          <w:sz w:val="32"/>
          <w:szCs w:val="32"/>
          <w:highlight w:val="none"/>
          <w:lang w:eastAsia="zh-Hans"/>
        </w:rPr>
        <w:t>。相关县市</w:t>
      </w:r>
      <w:r>
        <w:rPr>
          <w:rFonts w:hint="default" w:ascii="Times New Roman" w:hAnsi="Times New Roman" w:eastAsia="仿宋_GB2312" w:cs="Times New Roman"/>
          <w:sz w:val="32"/>
          <w:szCs w:val="32"/>
          <w:highlight w:val="none"/>
          <w:lang w:val="en-US" w:eastAsia="zh-Hans"/>
        </w:rPr>
        <w:t>根据工作任务清单和绩效目标</w:t>
      </w:r>
      <w:r>
        <w:rPr>
          <w:rFonts w:hint="default" w:ascii="Times New Roman" w:hAnsi="Times New Roman" w:eastAsia="仿宋_GB2312" w:cs="Times New Roman"/>
          <w:sz w:val="32"/>
          <w:szCs w:val="32"/>
          <w:highlight w:val="none"/>
          <w:lang w:eastAsia="zh-Hans"/>
        </w:rPr>
        <w:t>，逐级建立健全项目推进机制，严格按照批复内容开展工作，各级主管部门和实施主体及时将组织实施过程资料整理归档，</w:t>
      </w:r>
      <w:r>
        <w:rPr>
          <w:rFonts w:hint="default" w:ascii="Times New Roman" w:hAnsi="Times New Roman" w:eastAsia="仿宋_GB2312" w:cs="Times New Roman"/>
          <w:sz w:val="32"/>
          <w:szCs w:val="32"/>
          <w:highlight w:val="none"/>
          <w:lang w:val="en-US" w:eastAsia="zh-Hans"/>
        </w:rPr>
        <w:t>并对</w:t>
      </w:r>
      <w:r>
        <w:rPr>
          <w:rFonts w:hint="default" w:ascii="Times New Roman" w:hAnsi="Times New Roman" w:eastAsia="仿宋_GB2312" w:cs="Times New Roman"/>
          <w:sz w:val="32"/>
          <w:szCs w:val="32"/>
          <w:highlight w:val="none"/>
          <w:lang w:val="en-US" w:eastAsia="zh-CN"/>
        </w:rPr>
        <w:t>各</w:t>
      </w:r>
      <w:r>
        <w:rPr>
          <w:rFonts w:hint="default" w:ascii="Times New Roman" w:hAnsi="Times New Roman" w:eastAsia="仿宋_GB2312" w:cs="Times New Roman"/>
          <w:sz w:val="32"/>
          <w:szCs w:val="32"/>
          <w:highlight w:val="none"/>
          <w:lang w:val="en-US" w:eastAsia="zh-Hans"/>
        </w:rPr>
        <w:t>项目进行监控，推进资金统筹使用，提高资金使用效益，确保项目在管理可控范围内顺利实施。</w:t>
      </w:r>
      <w:r>
        <w:rPr>
          <w:rFonts w:hint="default" w:ascii="Times New Roman" w:hAnsi="Times New Roman" w:eastAsia="仿宋_GB2312" w:cs="Times New Roman"/>
          <w:b w:val="0"/>
          <w:bCs w:val="0"/>
          <w:sz w:val="32"/>
          <w:szCs w:val="32"/>
          <w:highlight w:val="none"/>
          <w:lang w:val="en-US" w:eastAsia="zh-CN"/>
        </w:rPr>
        <w:t>明确要求项目县（市）全面验收和地州抽验率不低于60%，因8-12月全区各地新冠肺炎疫情频发高发，各地结合实际情况，采取微信审核和电话随机问询的方式对服务组织上报的服务面积、作业质量及农户满意度进行核查，确保项目实施进度。明确要求项目实施完成后由地县农业农村部门对项目方案、组织实施、绩效完成情况等方面进行自评打分和绩效自查自评，绩效重点考核社会化服务面积完成情况和实施环节、服务对象是否合规等，以及有无出现农经司明确的“五个不得”的情况发生；绩效自评结果作为下一年度项目资金分配的重要参考依据，并列为粮食安全考核指标。</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7.支出责任履行情况：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对共同财政事权转移支付，按照财政事权和支出责任划分有关规定，足额安排资金履行本级支出责任，支出责任履行情况良好。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lang w:val="en-US" w:eastAsia="zh-Hans"/>
        </w:rPr>
        <w:t>项目实施乡镇人民政府为直接责任人，地州市县农业农村局为项目主管部门对项目资金使用、监督和验收负主体责任；单位主要领导为项目监督和实施第一责任人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主动与财政部门做好项目资金对接落实工作，确保资金及时到位，安全使用；</w:t>
      </w:r>
      <w:r>
        <w:rPr>
          <w:rFonts w:hint="eastAsia" w:ascii="Times New Roman" w:hAnsi="Times New Roman" w:eastAsia="仿宋_GB2312" w:cs="Times New Roman"/>
          <w:sz w:val="32"/>
          <w:szCs w:val="32"/>
          <w:highlight w:val="none"/>
          <w:lang w:val="en-US" w:eastAsia="zh-CN"/>
        </w:rPr>
        <w:t>自治区农业农村厅</w:t>
      </w:r>
      <w:r>
        <w:rPr>
          <w:rFonts w:hint="default" w:ascii="Times New Roman" w:hAnsi="Times New Roman" w:eastAsia="仿宋_GB2312" w:cs="Times New Roman"/>
          <w:sz w:val="32"/>
          <w:szCs w:val="32"/>
          <w:highlight w:val="none"/>
          <w:lang w:val="en-US" w:eastAsia="zh-Hans"/>
        </w:rPr>
        <w:t>建立项目执行定期调度督导机制，及时掌握项目执行和资金使用情况，</w:t>
      </w:r>
      <w:r>
        <w:rPr>
          <w:rFonts w:hint="eastAsia" w:ascii="Times New Roman" w:hAnsi="Times New Roman" w:eastAsia="仿宋_GB2312" w:cs="Times New Roman"/>
          <w:sz w:val="32"/>
          <w:szCs w:val="32"/>
          <w:highlight w:val="none"/>
          <w:lang w:val="en-US" w:eastAsia="zh-CN"/>
        </w:rPr>
        <w:t>不断总结经验和问题，</w:t>
      </w:r>
      <w:r>
        <w:rPr>
          <w:rFonts w:hint="default" w:ascii="Times New Roman" w:hAnsi="Times New Roman" w:eastAsia="仿宋_GB2312" w:cs="Times New Roman"/>
          <w:sz w:val="32"/>
          <w:szCs w:val="32"/>
          <w:highlight w:val="none"/>
          <w:lang w:val="en-US" w:eastAsia="zh-Hans"/>
        </w:rPr>
        <w:t>确保项目执行到位、资金使用规范。</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eastAsia" w:ascii="楷体" w:hAnsi="楷体" w:eastAsia="楷体" w:cs="楷体"/>
          <w:b/>
          <w:bCs/>
          <w:color w:val="auto"/>
          <w:sz w:val="32"/>
          <w:szCs w:val="32"/>
          <w:highlight w:val="none"/>
          <w:shd w:val="clear" w:color="auto" w:fill="FFFFFF"/>
          <w:lang w:val="en-US" w:eastAsia="zh-CN"/>
        </w:rPr>
      </w:pPr>
      <w:r>
        <w:rPr>
          <w:rFonts w:hint="eastAsia" w:ascii="楷体" w:hAnsi="楷体" w:eastAsia="楷体" w:cs="楷体"/>
          <w:b/>
          <w:bCs/>
          <w:color w:val="auto"/>
          <w:sz w:val="32"/>
          <w:szCs w:val="32"/>
          <w:highlight w:val="none"/>
          <w:shd w:val="clear" w:color="auto" w:fill="FFFFFF"/>
          <w:lang w:val="en-US" w:eastAsia="zh-CN"/>
        </w:rPr>
        <w:t>（三）总体绩效目标完成情况分析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2022年完成农机购置与应用补贴机具数48500台，绿色高质高效行动县数量31个，高素质农民培育数量26480人，粮改饲结构调整面积107.73万亩，新建设优势特色产业集群2个，新创建农业产业强镇7个。完成春小麦补贴面积2717.33万亩。发展粮食适度规模经营；提高农机化水平，支持优势特色主导产业发展，培育新型农业经营主体，推动农业结构调整，开展耕地休耕试点，粮改饲，推广绿色高质高效技术，开展国家现代农业产业园创建和农业强镇示范建设，推动畜牧业转型升级，推动畜禽粪污资源化利用，推广牧区畜牧良种，项目绩效目标基本完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楷体" w:cs="Times New Roman"/>
          <w:b/>
          <w:bCs/>
          <w:color w:val="auto"/>
          <w:sz w:val="32"/>
          <w:szCs w:val="32"/>
          <w:highlight w:val="none"/>
        </w:rPr>
      </w:pPr>
      <w:r>
        <w:rPr>
          <w:rFonts w:hint="eastAsia" w:ascii="Times New Roman" w:hAnsi="Times New Roman" w:eastAsia="楷体" w:cs="Times New Roman"/>
          <w:b/>
          <w:bCs/>
          <w:color w:val="auto"/>
          <w:sz w:val="32"/>
          <w:szCs w:val="32"/>
          <w:highlight w:val="none"/>
          <w:lang w:eastAsia="zh-CN"/>
        </w:rPr>
        <w:t>（</w:t>
      </w:r>
      <w:r>
        <w:rPr>
          <w:rFonts w:hint="eastAsia" w:ascii="Times New Roman" w:hAnsi="Times New Roman" w:eastAsia="楷体" w:cs="Times New Roman"/>
          <w:b/>
          <w:bCs/>
          <w:color w:val="auto"/>
          <w:sz w:val="32"/>
          <w:szCs w:val="32"/>
          <w:highlight w:val="none"/>
          <w:lang w:val="en-US" w:eastAsia="zh-CN"/>
        </w:rPr>
        <w:t>四</w:t>
      </w:r>
      <w:r>
        <w:rPr>
          <w:rFonts w:hint="eastAsia" w:ascii="Times New Roman" w:hAnsi="Times New Roman" w:eastAsia="楷体" w:cs="Times New Roman"/>
          <w:b/>
          <w:bCs/>
          <w:color w:val="auto"/>
          <w:sz w:val="32"/>
          <w:szCs w:val="32"/>
          <w:highlight w:val="none"/>
          <w:lang w:eastAsia="zh-CN"/>
        </w:rPr>
        <w:t>）</w:t>
      </w:r>
      <w:r>
        <w:rPr>
          <w:rFonts w:hint="default" w:ascii="Times New Roman" w:hAnsi="Times New Roman" w:eastAsia="楷体" w:cs="Times New Roman"/>
          <w:b/>
          <w:bCs/>
          <w:color w:val="auto"/>
          <w:sz w:val="32"/>
          <w:szCs w:val="32"/>
          <w:highlight w:val="none"/>
        </w:rPr>
        <w:t>绩效指标完成情况分析。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农业生产发展资金</w:t>
      </w:r>
      <w:r>
        <w:rPr>
          <w:rFonts w:hint="default" w:ascii="Times New Roman" w:hAnsi="Times New Roman" w:eastAsia="仿宋_GB2312" w:cs="Times New Roman"/>
          <w:b/>
          <w:bCs/>
          <w:color w:val="auto"/>
          <w:sz w:val="32"/>
          <w:szCs w:val="32"/>
          <w:highlight w:val="none"/>
          <w:lang w:val="en-US" w:eastAsia="zh-CN"/>
        </w:rPr>
        <w:t>541970.6</w:t>
      </w:r>
      <w:r>
        <w:rPr>
          <w:rFonts w:hint="default" w:ascii="Times New Roman" w:hAnsi="Times New Roman" w:eastAsia="仿宋_GB2312" w:cs="Times New Roman"/>
          <w:b/>
          <w:bCs/>
          <w:color w:val="auto"/>
          <w:sz w:val="32"/>
          <w:szCs w:val="32"/>
          <w:highlight w:val="none"/>
        </w:rPr>
        <w:t>万元指标完成情况分析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1.产出指标完成情况分析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（1）数量指标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a.财政部随文下达农机购置与应用补贴机具数（台（套）），指标值48000，我区实际完成48500，完成率101.04%，偏差率1.04%。</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b.财政部随文下达开展农机购置与应用补贴试点（个），指标值1，我区实际完成1，完成率100%。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c.财政部随文下达开展农机研发制造推广应用一体化试点（个），指标值1，我区实际完成1，完成率100%。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d.财政部随文下达绿色高质高效行动县数量（个），指标值26，我区实际完成31，完成率119.23%，偏差率19.23%。</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e.财政部随文下达站层农技人员培训数（人），指标值4000，我区实际完成</w:t>
      </w:r>
      <w:r>
        <w:rPr>
          <w:rFonts w:hint="eastAsia" w:ascii="Times New Roman" w:hAnsi="Times New Roman" w:eastAsia="仿宋_GB2312" w:cs="Times New Roman"/>
          <w:b w:val="0"/>
          <w:bCs w:val="0"/>
          <w:color w:val="auto"/>
          <w:sz w:val="32"/>
          <w:szCs w:val="32"/>
          <w:highlight w:val="none"/>
          <w:lang w:val="en-US" w:eastAsia="zh-CN"/>
        </w:rPr>
        <w:t>4000</w:t>
      </w:r>
      <w:r>
        <w:rPr>
          <w:rFonts w:hint="default" w:ascii="Times New Roman" w:hAnsi="Times New Roman" w:eastAsia="仿宋_GB2312" w:cs="Times New Roman"/>
          <w:b w:val="0"/>
          <w:bCs w:val="0"/>
          <w:color w:val="auto"/>
          <w:sz w:val="32"/>
          <w:szCs w:val="32"/>
          <w:highlight w:val="none"/>
          <w:lang w:val="en-US" w:eastAsia="zh-CN"/>
        </w:rPr>
        <w:t>，完成率</w:t>
      </w:r>
      <w:r>
        <w:rPr>
          <w:rFonts w:hint="eastAsia" w:ascii="Times New Roman" w:hAnsi="Times New Roman" w:eastAsia="仿宋_GB2312" w:cs="Times New Roman"/>
          <w:b w:val="0"/>
          <w:bCs w:val="0"/>
          <w:color w:val="auto"/>
          <w:sz w:val="32"/>
          <w:szCs w:val="32"/>
          <w:highlight w:val="none"/>
          <w:lang w:val="en-US" w:eastAsia="zh-CN"/>
        </w:rPr>
        <w:t>100</w:t>
      </w:r>
      <w:r>
        <w:rPr>
          <w:rFonts w:hint="default" w:ascii="Times New Roman" w:hAnsi="Times New Roman" w:eastAsia="仿宋_GB2312" w:cs="Times New Roman"/>
          <w:b w:val="0"/>
          <w:bCs w:val="0"/>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f.财政部随文下达农业科技示范展示基地数量（个），指标值166，我区实际完成169，完成率101.81%，偏差率1.81%。</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g.财政部随文下达支持奶牛（奶畜）家庭牧场和奶农合作社升级改造的数量（个），指标值50，我区实际完成53，完成率106%，偏差率6%。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h.财政部随文下达农产品产地冷藏保鲜设施建设数量（个），指标值70，我区实际完成70，完成率100%。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i.财政部随文下达支持的农民合作社数量（个），指标值310，我区实际完成331，完成率106.77%，偏差率6.77%。</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j.财政部随文下达支持的家庭农场数量（个），指标值170，我区实际完成177，完成率104.12%，偏差率4.12%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k.财政部随文下达农业生产托管服务面积（万亩），指标值160，我区实际完成386.6，完成率241.63%，偏差率141.63%，偏差原因是主要由于下达任务面积按照100元/亩上限补助标准，各项目县结合实际根据不同作物、不同环节等科学确定财政补助标准，实际补助服务面积均大于任务面积，符合项目实施方案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l.财政部随文下达高素质农民培育数量（人），指标值25450，我区实际完成</w:t>
      </w:r>
      <w:r>
        <w:rPr>
          <w:rFonts w:hint="eastAsia" w:ascii="Times New Roman" w:hAnsi="Times New Roman" w:eastAsia="仿宋_GB2312" w:cs="Times New Roman"/>
          <w:b w:val="0"/>
          <w:bCs w:val="0"/>
          <w:color w:val="auto"/>
          <w:sz w:val="32"/>
          <w:szCs w:val="32"/>
          <w:highlight w:val="none"/>
          <w:lang w:val="en-US" w:eastAsia="zh-CN"/>
        </w:rPr>
        <w:t>26480</w:t>
      </w:r>
      <w:r>
        <w:rPr>
          <w:rFonts w:hint="default" w:ascii="Times New Roman" w:hAnsi="Times New Roman" w:eastAsia="仿宋_GB2312" w:cs="Times New Roman"/>
          <w:b w:val="0"/>
          <w:bCs w:val="0"/>
          <w:color w:val="auto"/>
          <w:sz w:val="32"/>
          <w:szCs w:val="32"/>
          <w:highlight w:val="none"/>
          <w:lang w:val="en-US" w:eastAsia="zh-CN"/>
        </w:rPr>
        <w:t>，完成率</w:t>
      </w:r>
      <w:r>
        <w:rPr>
          <w:rFonts w:hint="eastAsia" w:ascii="Times New Roman" w:hAnsi="Times New Roman" w:eastAsia="仿宋_GB2312" w:cs="Times New Roman"/>
          <w:b w:val="0"/>
          <w:bCs w:val="0"/>
          <w:color w:val="auto"/>
          <w:sz w:val="32"/>
          <w:szCs w:val="32"/>
          <w:highlight w:val="none"/>
          <w:lang w:val="en-US" w:eastAsia="zh-CN"/>
        </w:rPr>
        <w:t>104.05</w:t>
      </w:r>
      <w:r>
        <w:rPr>
          <w:rFonts w:hint="default" w:ascii="Times New Roman" w:hAnsi="Times New Roman" w:eastAsia="仿宋_GB2312" w:cs="Times New Roman"/>
          <w:b w:val="0"/>
          <w:bCs w:val="0"/>
          <w:color w:val="auto"/>
          <w:sz w:val="32"/>
          <w:szCs w:val="32"/>
          <w:highlight w:val="none"/>
          <w:lang w:val="en-US" w:eastAsia="zh-CN"/>
        </w:rPr>
        <w:t>%，偏差率</w:t>
      </w:r>
      <w:r>
        <w:rPr>
          <w:rFonts w:hint="eastAsia" w:ascii="Times New Roman" w:hAnsi="Times New Roman" w:eastAsia="仿宋_GB2312" w:cs="Times New Roman"/>
          <w:b w:val="0"/>
          <w:bCs w:val="0"/>
          <w:color w:val="auto"/>
          <w:sz w:val="32"/>
          <w:szCs w:val="32"/>
          <w:highlight w:val="none"/>
          <w:lang w:val="en-US" w:eastAsia="zh-CN"/>
        </w:rPr>
        <w:t>4.05</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m.财政部随文下达农村实用人才带头人示范培训数量（人），指标值700，我区实际完成700，完成率100%。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n.财政部随文下达新创建国家现代农业产业园数量（个），指标值2，我区实际完成2，完成率100%。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o.财政部随文下达新建设优势特色产业集群数量（个），指标值2，我区实际完成2，完成率100%。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p.财政部随文下达新创建农业产业强镇数量（个），指标值7，我区实际完成7，完成率100%。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q.财政部随文下达高产优质苜蓿种植面积（万亩），指标值4.3，我区实际完成4.3，我区实际完成100%。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r.财政部随文下达牧区良种补贴数证（万份牛精液单位），指标值818，我区实际完成734.28，完成率89.77%，偏差率10.23%。偏差原因是受新疆7月底以来新冠肺炎疫情影响，伊犁州、乌鲁木齐、昌吉州、塔城地区、巴州等多地项目工作推进影响较大，部分县市良种补贴现场核验、验收工作停滞，资金拨付进展较慢。此外，各地跨区的活畜采购及种畜调运均受到不同程度影响，导致项目实施推进工作相对滞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s.财政部随文下达粮改饲结构调整面积（万亩），指标值104，我区实际完成107.73，完成率103.59%，偏差率3.59%。</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t.财政部随文下达支持发展地理标志农产品数量（个），指标值7，我区实际完成7，完成率100%。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u.财政部随文下达支持国家级畜禽遗传资源保护品种保护单位（场、区、库）数量（个），指标值8，我区实际完成8，完成率100%。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v.财政部随文下达种畜禽生产性能测定数量（只、头），指标值39533，我区实际完成31484，完成率79.64%，偏差率20.36%。偏差原因是受新疆7-12月新冠肺炎疫情影响，区内人员和物流基本停滞，导致部分育种场奶样无法及时配送至新疆维吾尔自治区乳品质量监测中心进行检测监测，奶牛生产性能测定工作受阻，导致项目测定任务量相对滞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w.财政部随文下达乡村产业振兴带头人“头雁”培育数做（人），指标值600，我区实际完成600，完成率100%。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x.财政部随文下达农作物高效蜂授粉面积（</w:t>
      </w:r>
      <w:r>
        <w:rPr>
          <w:rFonts w:hint="eastAsia" w:ascii="Times New Roman" w:hAnsi="Times New Roman" w:eastAsia="仿宋_GB2312" w:cs="Times New Roman"/>
          <w:b w:val="0"/>
          <w:bCs w:val="0"/>
          <w:color w:val="auto"/>
          <w:sz w:val="32"/>
          <w:szCs w:val="32"/>
          <w:highlight w:val="none"/>
          <w:lang w:val="en-US" w:eastAsia="zh-CN"/>
        </w:rPr>
        <w:t>万亩</w:t>
      </w:r>
      <w:r>
        <w:rPr>
          <w:rFonts w:hint="default" w:ascii="Times New Roman" w:hAnsi="Times New Roman" w:eastAsia="仿宋_GB2312" w:cs="Times New Roman"/>
          <w:b w:val="0"/>
          <w:bCs w:val="0"/>
          <w:color w:val="auto"/>
          <w:sz w:val="32"/>
          <w:szCs w:val="32"/>
          <w:highlight w:val="none"/>
          <w:lang w:val="en-US" w:eastAsia="zh-CN"/>
        </w:rPr>
        <w:t>），指标值1，我区实际完成1，完成率100%。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y.奶业生产能力提升整县推进县数量（个），指标值2，我区实际完成2，完成率100%。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质量</w:t>
      </w:r>
      <w:r>
        <w:rPr>
          <w:rFonts w:hint="default" w:ascii="Times New Roman" w:hAnsi="Times New Roman" w:eastAsia="仿宋_GB2312" w:cs="Times New Roman"/>
          <w:b/>
          <w:bCs/>
          <w:color w:val="auto"/>
          <w:sz w:val="32"/>
          <w:szCs w:val="32"/>
          <w:highlight w:val="none"/>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a.财政部随文下达农作物耕种收综合机械化率，指标值85.4%，我区实际完成85.5%，完成率100.12%，偏差率0.12%。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b.财政部随文下达农业主推技术到位率，指标值≥95%，我区实际完成95%，完成率100%。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c.财政部随文下达小麦弱苗转壮及稳产增产效果，指标值明显，我区实际完成100%，完成率100%。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时效</w:t>
      </w:r>
      <w:r>
        <w:rPr>
          <w:rFonts w:hint="default" w:ascii="Times New Roman" w:hAnsi="Times New Roman" w:eastAsia="仿宋_GB2312" w:cs="Times New Roman"/>
          <w:b/>
          <w:bCs/>
          <w:color w:val="auto"/>
          <w:sz w:val="32"/>
          <w:szCs w:val="32"/>
          <w:highlight w:val="none"/>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a.财政部随文下达耕地地力保护补贴发放时限，指标值6月30日，我区实际完成为202</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年7月15日，造成偏差原因有两方面，一是2022年补贴资金实际到位较晚，补贴资金分批拨付至各地时间分别为4月底至6月中旬。二是我区耕地地力保护补贴主要对小麦、玉米、青贮饲料、苜蓿和特色经济作物种植耕地按照优先序进行补贴，除冬小麦外，其余作物均为春季播种，6月上旬方可完成播种。冬小麦补贴面积核实需在返青后开展，我区冬小麦越冬期自然灾害时有发生(区域性低温冻害、雪腐病、雪霉病及野生动物损害)，补贴面积较播种面积发生变化，因此各地还需对冬小麦补贴面积再次核定，全部核定完成后约到7月上旬，面积核实完成后还需要一个月左右的公示才能进行兑付</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因此，新疆结合实际，对补贴资金兑付完成时限调整到了10月30日前。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成本</w:t>
      </w:r>
      <w:r>
        <w:rPr>
          <w:rFonts w:hint="default" w:ascii="Times New Roman" w:hAnsi="Times New Roman" w:eastAsia="仿宋_GB2312" w:cs="Times New Roman"/>
          <w:b/>
          <w:bCs/>
          <w:color w:val="auto"/>
          <w:sz w:val="32"/>
          <w:szCs w:val="32"/>
          <w:highlight w:val="none"/>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a.财政部随文下达绿色高质高效创建项目区节本增效水平，指标值5%，我区实际完成5%，完成率100%。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2.效益</w:t>
      </w:r>
      <w:r>
        <w:rPr>
          <w:rFonts w:hint="default" w:ascii="Times New Roman" w:hAnsi="Times New Roman" w:eastAsia="仿宋_GB2312" w:cs="Times New Roman"/>
          <w:b/>
          <w:bCs/>
          <w:color w:val="auto"/>
          <w:sz w:val="32"/>
          <w:szCs w:val="32"/>
          <w:highlight w:val="none"/>
        </w:rPr>
        <w:t>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（1）经济效益</w:t>
      </w:r>
      <w:r>
        <w:rPr>
          <w:rFonts w:hint="default" w:ascii="Times New Roman" w:hAnsi="Times New Roman" w:eastAsia="仿宋_GB2312" w:cs="Times New Roman"/>
          <w:b/>
          <w:bCs/>
          <w:color w:val="auto"/>
          <w:sz w:val="32"/>
          <w:szCs w:val="32"/>
          <w:highlight w:val="none"/>
          <w:lang w:eastAsia="zh-CN"/>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a.财政部随文下达农业信贷担保业务规模，指标值稳健发展，我区实际完成100%，完成率100%。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（2）社会效益指标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a.财政部随文下达服务小农户面积和服务规模经营水平，指标值提高，我区实际完成100%，完成率100%。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（3）生态效益指标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a.财政部随文下达推广应用农业绿色高质高效技术模式（个），指标值13，我区实际完成13，完成率100%。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3.满意度</w:t>
      </w:r>
      <w:r>
        <w:rPr>
          <w:rFonts w:hint="default" w:ascii="Times New Roman" w:hAnsi="Times New Roman" w:eastAsia="仿宋_GB2312" w:cs="Times New Roman"/>
          <w:b/>
          <w:bCs/>
          <w:color w:val="auto"/>
          <w:sz w:val="32"/>
          <w:szCs w:val="32"/>
          <w:highlight w:val="none"/>
        </w:rPr>
        <w:t>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a.财政部随文下达高素质农民培育满意度，指标值≥85%，我区实际完成95%，完成率111.76%，偏差率11.76%。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b.财政部随文下达新型经营主体对农业生产发展资金项目实施的满意度，指标值≥80%，我区实际完成95%，完成率118.75%，偏差率18.75%。</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c.财政部随文下达新型经营主体和小农户对农业生产社会化服务的满意度，指标值≥80%，我区实际完成95%，完成率118.75%，偏差率18.75%。</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d.财政部随文下达种粮主体对一次性补贴的满意度，指标值≥80%，我区实际完成95%，完成率118.75%，偏差率18.75%。</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2022年实际种粮农民一次性项目17260</w:t>
      </w:r>
      <w:r>
        <w:rPr>
          <w:rFonts w:hint="default" w:ascii="Times New Roman" w:hAnsi="Times New Roman" w:eastAsia="仿宋_GB2312" w:cs="Times New Roman"/>
          <w:b/>
          <w:bCs/>
          <w:color w:val="auto"/>
          <w:sz w:val="32"/>
          <w:szCs w:val="32"/>
          <w:highlight w:val="none"/>
        </w:rPr>
        <w:t>万元指标完成情况分析</w:t>
      </w:r>
      <w:r>
        <w:rPr>
          <w:rFonts w:hint="eastAsia" w:ascii="Times New Roman" w:hAnsi="Times New Roman" w:eastAsia="仿宋_GB2312" w:cs="Times New Roman"/>
          <w:b/>
          <w:bCs/>
          <w:color w:val="auto"/>
          <w:sz w:val="32"/>
          <w:szCs w:val="32"/>
          <w:highlight w:val="none"/>
          <w:lang w:eastAsia="zh-CN"/>
        </w:rPr>
        <w:t>（该笔资金财政部未随文下达绩效自评目标表，评价使用自治区下达的区域绩效目标表）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1.产出指标完成情况分析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（1）数量指标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a.财政部随文下达春小麦补贴缺口面积（万亩），指标值23.08万亩，我区实际完成23.08万亩，完成率100%。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b.财政部随文下达缺口资金（万元），指标值5054.52，我区实际完成5054.52，完成率100%。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c.财政部随文下达小麦补贴面积（万亩），指标值1220.55，我区实际完成1220.55，完成率100%。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d.财政部随文下达剩余补贴资金（万元），指标值，指标值1220.55，我区实际完成1220.55，完成率100%。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（2）质量指标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a.财政部随文下达保障粮食安全能力，指标值明显提升，我区实际完成100%，完成率100%。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b.财政部随文下达补贴资金兑付率，指标值100%，我区实际完成100%，完成率100%。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（3）时效指标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a.财政部随文下达补贴资金兑付实现，指标值2022年6月30日，我区实际完成100%，完成率100%。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2.效益指标完成情况分析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（1）经济效益指标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a.财政部随文下达提高种粮农户收益，指标值提高，我区实际完成100%，完成率100%。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（2）社会效益指标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a.财政部随文下达提高种粮农民积极性，指标值有所提高，我区实际完成100%，完成率100%。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b.财政部随文下达资金使用重大违规违纪问题，指标值无，我区实际完成100%，完成率100%。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3.满意度指标完成情况分析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a.财政部随文下达实际种粮农民政策补贴群众满意度，指标值≥85%，我区实际完成95%，完成率111.76%，偏差率11.76%。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2022年实际种粮农民一次性项目19868万元指标完成情况分析</w:t>
      </w:r>
      <w:r>
        <w:rPr>
          <w:rFonts w:hint="eastAsia" w:ascii="Times New Roman" w:hAnsi="Times New Roman" w:eastAsia="仿宋_GB2312" w:cs="Times New Roman"/>
          <w:b/>
          <w:bCs/>
          <w:color w:val="auto"/>
          <w:sz w:val="32"/>
          <w:szCs w:val="32"/>
          <w:highlight w:val="none"/>
          <w:lang w:eastAsia="zh-CN"/>
        </w:rPr>
        <w:t>（该笔资金财政部未随文下达绩效自评目标表，评价使用自治区下达的区域绩效目标表）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1.产出指标完成情况分析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（1）数量指标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a.财政部随文下达小麦补贴面积，指标值1168.7万亩，我区实际完成1168.7万亩，完成率100%。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b.财政部随文下达补贴资金，指标值19868万元，我区实际完成19868万元，完成率100%。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（2）质量指标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a.财政部随文下达保障粮食安全能力，指标值明显提升，我区实际完成100%，完成率100%。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b.财政部随文下达补贴资金兑付率，指标值100%，我区实际完成100%，完成率100%。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（3）时效指标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a.财政部随文下达补贴资金兑付实现，指标值2022年9月30日，我区实际完成100%，完成率100%。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2.效益指标完成情况分析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（1）经济效益指标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a.财政部随文下达提高种粮农户收益，指标值提高，我区实际完成100%，完成率100%。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（2）社会效益指标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a.财政部随文下达提高种粮农民积极性，指标值有所提高，我区实际完成100%，完成率100%。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b.财政部随文下达资金使用重大违规违纪问题，指标值无，我区实际完成100%，完成率100%。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3.满意度指标完成情况分析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a.财政部随文下达实际种粮农民政策补贴群众满意度，指标值≥85%，我区实际完成95%，完成率111.76%，偏差率11.76%。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三、偏离绩效目标的原因和下一步改进措施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（一）偏离的绩效目标：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1.未完成的数量指标。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a.</w:t>
      </w:r>
      <w:r>
        <w:rPr>
          <w:rFonts w:hint="default" w:ascii="Times New Roman" w:hAnsi="Times New Roman" w:eastAsia="仿宋_GB2312" w:cs="Times New Roman"/>
          <w:b w:val="0"/>
          <w:bCs w:val="0"/>
          <w:color w:val="auto"/>
          <w:sz w:val="32"/>
          <w:szCs w:val="32"/>
          <w:highlight w:val="none"/>
          <w:lang w:val="en-US" w:eastAsia="zh-CN"/>
        </w:rPr>
        <w:t>牧区良种补贴数证（万份牛精液单位），指标值818，我区实际完成734.28，完成率89.77%，偏差率10.23%。偏差原因是受新疆7月底以来新冠肺炎疫情影响，伊犁州、乌鲁木齐、昌吉州、塔城地区、巴州等多地项目工作推进影响较大，部分县市良种补贴现场核验、验收工作停滞，资金拨付进展较慢。此外，各地跨区的活畜采购及种畜调运均受到不同程度影响，导致项目实施推进工作相对滞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b.</w:t>
      </w:r>
      <w:r>
        <w:rPr>
          <w:rFonts w:hint="default" w:ascii="Times New Roman" w:hAnsi="Times New Roman" w:eastAsia="仿宋_GB2312" w:cs="Times New Roman"/>
          <w:b w:val="0"/>
          <w:bCs w:val="0"/>
          <w:color w:val="auto"/>
          <w:sz w:val="32"/>
          <w:szCs w:val="32"/>
          <w:highlight w:val="none"/>
          <w:lang w:val="en-US" w:eastAsia="zh-CN"/>
        </w:rPr>
        <w:t>种畜禽生产性能测定数量（只、头），指标值39533，我区实际完成31484，完成率79.64%，偏差率20.36%。偏差原因是受新疆7-12月新冠肺炎疫情影响，区内人员和物流基本停滞，导致部分育种场奶样无法及时配送至新疆维吾尔自治区乳品质量监测中心进行检测监测，奶牛生产性能测定工作受阻，导致项目测定任务量相对滞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.未完成的</w:t>
      </w:r>
      <w:r>
        <w:rPr>
          <w:rFonts w:hint="eastAsia" w:ascii="Times New Roman" w:hAnsi="Times New Roman" w:eastAsia="仿宋_GB2312" w:cs="Times New Roman"/>
          <w:b/>
          <w:bCs/>
          <w:color w:val="auto"/>
          <w:sz w:val="32"/>
          <w:szCs w:val="32"/>
          <w:highlight w:val="none"/>
          <w:lang w:val="en-US" w:eastAsia="zh-CN"/>
        </w:rPr>
        <w:t>时效</w:t>
      </w:r>
      <w:r>
        <w:rPr>
          <w:rFonts w:hint="default" w:ascii="Times New Roman" w:hAnsi="Times New Roman" w:eastAsia="仿宋_GB2312" w:cs="Times New Roman"/>
          <w:b/>
          <w:bCs/>
          <w:color w:val="auto"/>
          <w:sz w:val="32"/>
          <w:szCs w:val="32"/>
          <w:highlight w:val="none"/>
          <w:lang w:val="en-US" w:eastAsia="zh-CN"/>
        </w:rPr>
        <w:t>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耕地地力保护补贴发放时限，指标值6月30日，我区实际完成为202</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年7月15日，造成偏差原因有两方面，一是2022年补贴资金实际到位较晚，补贴资金分批拨付至各地时间分别为4月底至6月中旬。二是我区耕地地力保护补贴主要对小麦、玉米、青贮饲料、苜蓿和特色经济作物种植耕地按照优先序进行补贴，除冬小麦外，其余作物均为春季播种，6月上旬方可完成播种。冬小麦补贴面积核实需在返青后开展，我区冬小麦越冬期自然灾害时有发生(区域性低温冻害、雪腐病、雪霉病及野生动物损害)，补贴面积较播种面积发生变化，因此各地还需对冬小麦补贴面积再次核定，全部核定完成后约到7月上旬，面积核实完成后还需要一个月左右的公示才能进行兑付</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因此，新疆结合实际，对补贴资金兑付完成时限调整到了10月30日前。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3.完成率超出30%及以上指标。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农业生产托管服务面积（万亩），指标值160，我区实际完成386.6，完成率241.63%，偏差率141.63%，偏差原因是主要由于下达任务面积按照100元/亩上限补助标准，各项目县结合实际根据不同作物、不同环节等科学确定财政补助标准，实际补助服务面积均大于任务面积，符合项目实施方案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（二）下一步改进措施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a.项目实施过程中存在不足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各地州市开展绩效管理工作水平有待提高。从各地州市项目绩效自评情况反映，很多地州市存在绩效管理意识不强，绩效管理队伍不专业，造成项目绩效管理不规范。资金支付进度落后于项目建设进度，资金支出进度与任务完成情况有偏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b.下一步工作实施改进措施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自治区农业农村厅将在及时完善相关政策、加强资金使用的督导、推动大专项任务按时完成</w:t>
      </w:r>
      <w:bookmarkStart w:id="0" w:name="_Hlk36400345"/>
      <w:r>
        <w:rPr>
          <w:rFonts w:hint="eastAsia" w:ascii="Times New Roman" w:hAnsi="Times New Roman" w:eastAsia="仿宋_GB2312" w:cs="Times New Roman"/>
          <w:b w:val="0"/>
          <w:bCs w:val="0"/>
          <w:color w:val="auto"/>
          <w:sz w:val="32"/>
          <w:szCs w:val="32"/>
          <w:highlight w:val="none"/>
          <w:lang w:val="en-US" w:eastAsia="zh-CN"/>
        </w:rPr>
        <w:t>、强化绩效目标管理</w:t>
      </w:r>
      <w:bookmarkEnd w:id="0"/>
      <w:r>
        <w:rPr>
          <w:rFonts w:hint="eastAsia" w:ascii="Times New Roman" w:hAnsi="Times New Roman" w:eastAsia="仿宋_GB2312" w:cs="Times New Roman"/>
          <w:b w:val="0"/>
          <w:bCs w:val="0"/>
          <w:color w:val="auto"/>
          <w:sz w:val="32"/>
          <w:szCs w:val="32"/>
          <w:highlight w:val="none"/>
          <w:lang w:val="en-US" w:eastAsia="zh-CN"/>
        </w:rPr>
        <w:t>、提升沟通协调能力等方面有序开展工作，根据实际情况，确保专项补助资金按相关要求执行，进一步提高中央财政相关农业转移支付资金的使用效益。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加强资金执行过程管理和制度落实落地。一是加快资金发放进度。配合财政部门督促指导未完成资金发放的县（市、区）加快资金发放进度，加大调度力度和频率，协调出现的问题，确保所有项目资金执行完毕。二是加大项目调度力度。实行常规项目“月调度”、重点项目“周调度”、重大项目“三天一调度”，及时调度各类项目开复工及项目实施进度情况，梳理总结项目执行存在的问题，压实各环节责任，进一步加快项目实施进度和资金支出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val="zh-CN" w:eastAsia="zh-CN"/>
        </w:rPr>
        <w:t>加强部门沟通协作，确保政策落实到位。加强农业农村、财政部门工作的联动性，建立工作联动机制，按照职责分工抓好农机购置补贴各项工作的落实。充分发挥农机购置补贴领导小组对补贴工作重大事项的决策、指导、监督作用，增强工作的积极性、主动性。根据《指导意见》精神，积极引入第三方参与农机购置补贴重点环节抽查监督。继续推进廉政文化建设，加强廉政风险防控动态管理，进一步加强对中央农机购置补贴资金使用的监管，严禁挤占挪用，确保资金运管安全，使用高效，执行到位，主动接受纪检监察部门监督和审计部门的专项审计，进一步推进农机购置补贴政策改革，确保中央农机购置补贴政策科学高效规范廉洁实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lang w:val="zh-CN" w:eastAsia="zh-CN"/>
        </w:rPr>
        <w:t>加强信息公开和政策培训。继续监督指导各地州、县市抓好对农机购置补贴政策实施情况监管和信息公开，要求各补贴实施县市公布补贴相关政策、资金规模、补贴程序、监督管理情况、投诉咨询电话等。</w:t>
      </w:r>
      <w:r>
        <w:rPr>
          <w:rFonts w:hint="eastAsia" w:ascii="Times New Roman" w:hAnsi="Times New Roman" w:eastAsia="仿宋_GB2312" w:cs="Times New Roman"/>
          <w:b w:val="0"/>
          <w:bCs w:val="0"/>
          <w:color w:val="auto"/>
          <w:sz w:val="32"/>
          <w:szCs w:val="32"/>
          <w:highlight w:val="none"/>
          <w:lang w:val="en-US" w:eastAsia="zh-CN"/>
        </w:rPr>
        <w:t xml:space="preserve">继续加强对基层具体从事农机购置补贴工作人员的政策培训和廉政教育，经常性开展项目执行情况督导检查，规范行政权力运作，提高行政效能，健全监督制约长效机制。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四、绩效自评结果及拟应用和公开情况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1.按照财政部《项目支出绩效评价管理办法》（财预〔2020〕10号）规定，单位自评标准是：预算执行10分，产出指标50分，效益指标30分，服务对象满意度指标10分。经自评，2022年度自治区农业生产发展资金项目（</w:t>
      </w:r>
      <w:r>
        <w:rPr>
          <w:rFonts w:hint="default" w:ascii="Times New Roman" w:hAnsi="Times New Roman" w:eastAsia="仿宋_GB2312" w:cs="Times New Roman"/>
          <w:b w:val="0"/>
          <w:bCs w:val="0"/>
          <w:color w:val="auto"/>
          <w:sz w:val="32"/>
          <w:szCs w:val="32"/>
          <w:highlight w:val="none"/>
          <w:lang w:val="en-US" w:eastAsia="zh-CN"/>
        </w:rPr>
        <w:t>541970.6</w:t>
      </w:r>
      <w:r>
        <w:rPr>
          <w:rFonts w:hint="eastAsia" w:ascii="Times New Roman" w:hAnsi="Times New Roman" w:eastAsia="仿宋_GB2312" w:cs="Times New Roman"/>
          <w:b w:val="0"/>
          <w:bCs w:val="0"/>
          <w:color w:val="auto"/>
          <w:sz w:val="32"/>
          <w:szCs w:val="32"/>
          <w:highlight w:val="none"/>
          <w:lang w:val="en-US" w:eastAsia="zh-CN"/>
        </w:rPr>
        <w:t>万元）综合评价自评得分为96.39分，其中：预算执行8.35分、产出指标48.04分、效益指标30分、服务对象满意度指标10分，自评结果为“优”。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2.按照财政部《项目支出绩效评价管理办法》（财预〔2020〕10号）规定，单位自评标准是：预算执行10分，产出指标50分，效益指标30分，服务对象满意度指标10分。经自评，</w:t>
      </w:r>
      <w:r>
        <w:rPr>
          <w:rFonts w:hint="default" w:ascii="Times New Roman" w:hAnsi="Times New Roman" w:eastAsia="仿宋_GB2312" w:cs="Times New Roman"/>
          <w:b w:val="0"/>
          <w:bCs w:val="0"/>
          <w:color w:val="auto"/>
          <w:sz w:val="32"/>
          <w:szCs w:val="32"/>
          <w:highlight w:val="none"/>
          <w:lang w:val="en-US" w:eastAsia="zh-CN"/>
        </w:rPr>
        <w:t>2022年实际种粮农民一次性项目</w:t>
      </w:r>
      <w:r>
        <w:rPr>
          <w:rFonts w:hint="eastAsia" w:ascii="Times New Roman" w:hAnsi="Times New Roman" w:eastAsia="仿宋_GB2312" w:cs="Times New Roman"/>
          <w:b w:val="0"/>
          <w:bCs w:val="0"/>
          <w:color w:val="auto"/>
          <w:sz w:val="32"/>
          <w:szCs w:val="32"/>
          <w:highlight w:val="none"/>
          <w:lang w:val="en-US" w:eastAsia="zh-CN"/>
        </w:rPr>
        <w:t>（17260万元）综合评价自评得分为100分，其中：预算执行10分、产出指标50分、效益指标30分、服务对象满意度指标10分，自评结果为“优”。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3.按照财政部《项目支出绩效评价管理办法》（财预〔2020〕10号）规定，单位自评标准是：预算执行10分，产出指标50分，效益指标30分，服务对象满意度指标10分。经自评，</w:t>
      </w:r>
      <w:r>
        <w:rPr>
          <w:rFonts w:hint="default" w:ascii="Times New Roman" w:hAnsi="Times New Roman" w:eastAsia="仿宋_GB2312" w:cs="Times New Roman"/>
          <w:b w:val="0"/>
          <w:bCs w:val="0"/>
          <w:color w:val="auto"/>
          <w:sz w:val="32"/>
          <w:szCs w:val="32"/>
          <w:highlight w:val="none"/>
          <w:lang w:val="en-US" w:eastAsia="zh-CN"/>
        </w:rPr>
        <w:t>2022年实际种粮农民一次性项目</w:t>
      </w:r>
      <w:r>
        <w:rPr>
          <w:rFonts w:hint="eastAsia" w:ascii="Times New Roman" w:hAnsi="Times New Roman" w:eastAsia="仿宋_GB2312" w:cs="Times New Roman"/>
          <w:b w:val="0"/>
          <w:bCs w:val="0"/>
          <w:color w:val="auto"/>
          <w:sz w:val="32"/>
          <w:szCs w:val="32"/>
          <w:highlight w:val="none"/>
          <w:lang w:val="en-US" w:eastAsia="zh-CN"/>
        </w:rPr>
        <w:t>（19868万元）综合评价自评得分为100分，其中：预算执行10分、产出指标50分、效益指标30分、服务对象满意度指标10分，自评结果为“优”。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自评价中发现预算绩效管理水平仍有欠缺，存在“重投入轻管理、重支出轻绩效”的情况，对全面实施预算绩效管理的要求认识还不到位，项目申报、实施等环节与预算绩效管理各个环节联系不够紧密，针对问题，我单位加强学习。进一步明确如何参照考核体系，科学合理设定绩效目标，充分发挥预算绩效管理工作效用，加强与财政部门的紧密配合，开展好项目资金绩效管理工作，运用好绩效评价的结果，不断提升预算管理水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5.评价结果将在我单位门户网站进行公示公开，广泛接受社会监督。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五、其他需要说明的问题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在中央巡视、各级审计和财政监督中未发现问题。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附件：2022年中央对地方专项转移支付绩效目标自评表（农业生产发展）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sectPr>
          <w:pgSz w:w="11910" w:h="16790"/>
          <w:pgMar w:top="1440" w:right="1800" w:bottom="1440" w:left="1800" w:header="0" w:footer="323" w:gutter="0"/>
          <w:pgNumType w:fmt="decimal"/>
          <w:cols w:space="720" w:num="1"/>
        </w:sectPr>
      </w:pPr>
      <w:r>
        <w:rPr>
          <w:rFonts w:hint="eastAsia" w:ascii="Times New Roman" w:hAnsi="Times New Roman" w:eastAsia="仿宋_GB2312" w:cs="Times New Roman"/>
          <w:b w:val="0"/>
          <w:bCs w:val="0"/>
          <w:color w:val="auto"/>
          <w:sz w:val="32"/>
          <w:szCs w:val="32"/>
          <w:highlight w:val="none"/>
          <w:lang w:val="en-US" w:eastAsia="zh-CN"/>
        </w:rPr>
        <w:t>2022年中央对地方专项转移支付绩效目标自评表（</w:t>
      </w:r>
      <w:r>
        <w:rPr>
          <w:rFonts w:hint="default" w:ascii="Times New Roman" w:hAnsi="Times New Roman" w:eastAsia="仿宋_GB2312" w:cs="Times New Roman"/>
          <w:b w:val="0"/>
          <w:bCs w:val="0"/>
          <w:color w:val="auto"/>
          <w:sz w:val="32"/>
          <w:szCs w:val="32"/>
          <w:highlight w:val="none"/>
          <w:lang w:val="en-US" w:eastAsia="zh-CN"/>
        </w:rPr>
        <w:t>2022年实际种粮农民一次性项目</w:t>
      </w:r>
      <w:r>
        <w:rPr>
          <w:rFonts w:hint="eastAsia" w:ascii="Times New Roman" w:hAnsi="Times New Roman" w:eastAsia="仿宋_GB2312" w:cs="Times New Roman"/>
          <w:b w:val="0"/>
          <w:bCs w:val="0"/>
          <w:color w:val="auto"/>
          <w:sz w:val="32"/>
          <w:szCs w:val="32"/>
          <w:highlight w:val="none"/>
          <w:lang w:val="en-US" w:eastAsia="zh-CN"/>
        </w:rPr>
        <w:t>）</w:t>
      </w:r>
    </w:p>
    <w:p>
      <w:pPr>
        <w:spacing w:before="51" w:line="219" w:lineRule="auto"/>
        <w:jc w:val="both"/>
        <w:rPr>
          <w:rFonts w:hint="default" w:ascii="Times New Roman" w:hAnsi="Times New Roman" w:eastAsia="宋体" w:cs="Times New Roman"/>
          <w:b/>
          <w:bCs/>
          <w:color w:val="auto"/>
          <w:spacing w:val="5"/>
          <w:sz w:val="28"/>
          <w:szCs w:val="28"/>
          <w:highlight w:val="none"/>
          <w:lang w:eastAsia="zh-CN"/>
        </w:rPr>
      </w:pPr>
      <w:r>
        <w:rPr>
          <w:rFonts w:hint="default" w:ascii="Times New Roman" w:hAnsi="Times New Roman" w:eastAsia="宋体" w:cs="Times New Roman"/>
          <w:b/>
          <w:bCs/>
          <w:color w:val="auto"/>
          <w:spacing w:val="5"/>
          <w:sz w:val="28"/>
          <w:szCs w:val="28"/>
          <w:highlight w:val="none"/>
          <w:lang w:eastAsia="zh-CN"/>
        </w:rPr>
        <w:t>附件：</w:t>
      </w:r>
    </w:p>
    <w:p>
      <w:pPr>
        <w:pStyle w:val="5"/>
        <w:jc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方正小标宋_GBK" w:cs="Times New Roman"/>
          <w:b/>
          <w:sz w:val="32"/>
          <w:szCs w:val="32"/>
          <w:highlight w:val="none"/>
          <w:lang w:val="en-US" w:eastAsia="zh-CN"/>
        </w:rPr>
        <w:t>中央对地方专项转移支付区域绩效自评表</w:t>
      </w:r>
    </w:p>
    <w:tbl>
      <w:tblPr>
        <w:tblStyle w:val="13"/>
        <w:tblW w:w="14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819"/>
        <w:gridCol w:w="1824"/>
        <w:gridCol w:w="2982"/>
        <w:gridCol w:w="2477"/>
        <w:gridCol w:w="1559"/>
        <w:gridCol w:w="3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转移支付（项目）名称</w:t>
            </w:r>
          </w:p>
        </w:tc>
        <w:tc>
          <w:tcPr>
            <w:tcW w:w="1271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农业生产发展资金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27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中央主管部门</w:t>
            </w:r>
          </w:p>
        </w:tc>
        <w:tc>
          <w:tcPr>
            <w:tcW w:w="12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财政部、农业农村部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地方主管部门</w:t>
            </w:r>
          </w:p>
        </w:tc>
        <w:tc>
          <w:tcPr>
            <w:tcW w:w="4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新疆维吾尔自治区农业农村厅</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资金使用单位</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各地州农业农村主管部门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资金投入情况</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（万元）</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全年预算数（A)</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全年执行数（B)</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预算执行率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年度资金总额：</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541970.6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highlight w:val="none"/>
                <w:u w:val="none"/>
                <w:lang w:val="en-US"/>
              </w:rPr>
            </w:pPr>
            <w:r>
              <w:rPr>
                <w:rFonts w:hint="eastAsia" w:ascii="宋体" w:hAnsi="宋体" w:eastAsia="宋体" w:cs="宋体"/>
                <w:i w:val="0"/>
                <w:iCs w:val="0"/>
                <w:snapToGrid w:val="0"/>
                <w:color w:val="000000"/>
                <w:kern w:val="0"/>
                <w:sz w:val="15"/>
                <w:szCs w:val="15"/>
                <w:highlight w:val="none"/>
                <w:u w:val="none"/>
                <w:lang w:val="en-US" w:eastAsia="zh-CN" w:bidi="ar"/>
              </w:rPr>
              <w:t>482660.01</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89.06%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其中：中央财政资金</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541970.6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482660.01</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89.06%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地方资金</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其他资金</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资金管理情况</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情况说明</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分配科学性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一要突出重点。聚焦党中央、国务院，自治区党委、政府以及农业农村部关于农业农村高质量发展的重大决策部署，围绕农业农村领域重点目标任务，主动跟上去、迎上去、落下去，确保为重大决策、重大政策、重大部署、重点任务落地落实提供资金保障和有力支撑。二要强化对比分析。说明当前分配资金的性质、来源、额度、投资方向、实施期限等基本情况，并与上年进行比较分析，研究变化趋势，形成有对比、有分析的资金分配方案，更好体现支持的必要性和突出效果。三是要提出约束性要求。对照资金分配使用需要达到的目标、任务、效果等，明确实施主体必须完成哪些绩效指标、约束指标、硬性指标。</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下达及时性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2021年10月29日《财政部关于提前下达2022年农业相关转移支付资金预算的通知》（财农〔2021〕114号文）下达334641万元。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2022年3月11日《财政部关于下达2022年实际种粮农民一次性补贴资金预算的通知》（财农〔2022〕16号文）下达38356万元。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2022年3月25日《财政部关于下达2022年农业生产发展资金预算的通知》（财农〔2022〕24号文）下达10000万元。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2022年4月19日《财政部关于下达2022年农业生产发展资金预算的通知》（财农〔2022〕38号文）下达191960万元。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4月26日根据《关于下达2022年中央农业生产发展资金预算的通知》（新财农〔2022〕27号文）2022年5月22日《关于下达2022年中央农业生产发展资金预算的通知》（新财农〔2022〕36号文）共计将32986.4万元统筹整合支持脱贫攻坚。实际用于农业生产发展资金579098.6万元。</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2022年4月26日《关于下达2022年中央农业生产发展资金预算的通知》（新财农〔2022〕27号文）2022年5月22日《关于下达2022年中央农业生产发展资金预算的通知》（新财农〔2022〕36号文）将32986.4万元统筹整合支持脱贫攻坚。将剩余579098.6万元分解下达各地州，资金分解下达及时。</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拨付合规性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农业农村厅关于印发&lt;新疆维吾尔自治区农业生产发展资金管理办法&gt;的通知》（新财规〔2020〕17号文）等文件拨付资金，资金拨付合规。</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使用规范性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农业农村厅关于印发&lt;新疆维吾尔自治区农业生产发展资金管理办法&gt;的通知》（新财规〔2020〕17号文）等文件使用资金，资金使用合规。在中央巡视、各级审计和财政监督中未发现问题。</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执行准确性</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农业农村厅关于印发&lt;新疆维吾尔自治区农业生产发展资金管理办法&gt;的通知》（新财规〔2020〕17号文）等文件执行资金，资金执行合规。因疫情封闭等原因，资金执行受到影响，后续将按计划支付完毕。</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预算绩效管理情况</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中共中央国务院关于全面实施预算绩效管理的意见》、《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支出责任履行情况</w:t>
            </w:r>
          </w:p>
        </w:tc>
        <w:tc>
          <w:tcPr>
            <w:tcW w:w="5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对共同财政事权转移支付，按照财政事权和支出责任划分有关规定，足额安排资金履行本级支出责任，支出责任履行情况良好。</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总体目标完成情况</w:t>
            </w:r>
          </w:p>
        </w:tc>
        <w:tc>
          <w:tcPr>
            <w:tcW w:w="5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w:t>
            </w:r>
          </w:p>
        </w:tc>
        <w:tc>
          <w:tcPr>
            <w:tcW w:w="7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56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按照相关规划或实施方案，根据任务清单并结合地方实际支持农业生产发展。</w:t>
            </w:r>
          </w:p>
        </w:tc>
        <w:tc>
          <w:tcPr>
            <w:tcW w:w="79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2022年完成农机购置与应用补贴机具数48500台，绿色高质高效行动县数量31个，高素质农民培育数量26480人，粮改饲结构调整面积107.73万亩，新建设优势特色产业集群2个，新创建农业产业强镇7个。完成春小麦补贴面积2717.33万亩。发展粮食适度规模经营；提高农机化水平，支持优势特色主导产业发展，培育新型农业经营主体，推动农业结构调整，开展耕地休耕试点，粮改饲，推广绿色高质高效技术，开展国家现代农业产业园创建和农业强镇示范建设，推动畜牧业转型升级，推动畜禽粪污资源化利用，推广牧区畜牧良种，项目绩效目标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56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9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56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9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绩</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一级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二级指标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三级指标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指标值</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成值</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出</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数量指标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农机购置与应用补贴机具数（台（套）)</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48000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48500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开展农机购置与应用补贴试点（个）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开展农机研发制造推广应用一体化试点（个）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绿色高质高效行动县数量（个）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站层农技人员培训数（人）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4000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农业科技示范展示基地数量（个）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166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169</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糖料蔗良种推广面积（万亩）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糖料蔗良法技术推广面积（万亩）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天然橡胶良种良法推广面积（万亩）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支持奶牛（奶畜）家庭牧场和奶农合作社升级改造的数量（个）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53</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农产品产地冷藏保鲜设施建设数量（个）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支持的农民合作社数量（个）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331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支持的家庭农场数量（个）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177</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农业生产托管服务面积（万亩）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160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386.6</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主要由于下达任务面积按照100元/亩上限补助标准，各项目县结合实际根据不同作物、不同环节等科学确定财政补助标准，实际补助服务面积均大于任务面积，符合项目实施方案要求。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高素质农民培育数量（人）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25450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26480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新创建国家现代农业产业园数量（个）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农村实用人才带头人示范培训数量（人）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新建设优势特色产业集群数量（个）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新创建农业产业强镇数量（个）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高产优质苜蓿种植面积（万亩）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4.3</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牧区良种补贴数证（万份牛精液单位）</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734.28</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受新疆7月底以来新冠肺炎疫情影响，伊犁州、乌鲁木齐、昌吉州、塔城地区、巴州等多地项目工作推进影响较大，部分县市良种补贴现场核验、验收工作停滞，资金拨付进展较慢。此外，各地跨区的活畜采购及种畜调运均受到不同程度影响，导致项目实施推进工作相对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粮改饲结构调整面积（万亩）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107.73</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支持发展地理标志农产品数量（个）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7</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生猪良种补贴数（万头）</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支持国家级畜禽遗传资源保护品种保护单位（场、区、库）数量（个）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种畜禽生产性能测定数量（只、头）</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39533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31484</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受新疆7-12月新冠肺炎疫情影响，区内人员和物流基本停滞，导致部分育种场奶样无法及时配送至新疆维吾尔自治区乳品质量监测中心进行检测监测，奶牛生产性能测定工作受阻，导致项目测定任务量相对滞后。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项目实施县新增犊母牛年增长率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项目实施县牛羊肉产量增幅</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建设高效优质蜂产业发展示范区（个）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乡村产业振兴带头人“头雁”培育数做（人）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600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600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农作物高效蜂授粉面积（万亩）</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奶业生产能力提升整县推进县数量（个）</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质量指标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农作物耕种收综合机械化率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85.50%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农业主推技术到位率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小麦弱苗转壮及稳产增产效果</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明显</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时效指标</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耕地地力保护补贴发放时限</w:t>
            </w:r>
          </w:p>
        </w:tc>
        <w:tc>
          <w:tcPr>
            <w:tcW w:w="2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6月30日</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2022年7月15日</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造成偏差原因有两方面，一是2022年补贴资金实际到位较晚，补贴资金分批拨付至各地时间分别为4月底至6月中旬。二是我区耕地地力保护补贴主要对小麦、玉米、青贮饲料、苜蓿和特色经济作物种植耕地按照优先序进行补贴，除冬小麦外，其余作物均为春季播种，6月上旬方可完成播种。冬小麦补贴面积核实需在返青后开展，我区冬小麦越冬期自然灾害时有发生(区域性低温冻害、雪腐病、雪霉病及野生动物损害)，补贴面积较播种面积发生变化，因此各地还需对冬小麦补贴面积再次核定，全部核定完成后约到7月上旬，面积核实完成后还需要一个月左右的公示才能进行兑付，因此，新疆结合实际，对补贴资金兑付完成时限调整到了10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成本指标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绿色高质高效创建项目区节本增效水平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益</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经济效益指标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农业信贷担保业务规模</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稳健发展</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社会效益指标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服务小农户面积和服务规模经营水平</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生态效益指标</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推广应用农业绿色高质高效技术模式（个）</w:t>
            </w:r>
          </w:p>
        </w:tc>
        <w:tc>
          <w:tcPr>
            <w:tcW w:w="2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13</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可持续影响指标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高效协同重大技术推广机制模式</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满意</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度指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服务对象</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满意度指标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高素质农民培育满意度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新型经营主体对农业生产发展资金项目实施的满意度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新型经营主体和小农户对农业生产社会化服务的满意度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种粮主体对一次性补贴的满意度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说明</w:t>
            </w:r>
          </w:p>
        </w:tc>
        <w:tc>
          <w:tcPr>
            <w:tcW w:w="13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r>
    </w:tbl>
    <w:p>
      <w:pPr>
        <w:spacing w:before="51" w:line="219" w:lineRule="auto"/>
        <w:jc w:val="both"/>
        <w:rPr>
          <w:rFonts w:hint="default" w:ascii="Times New Roman" w:hAnsi="Times New Roman" w:eastAsia="方正小标宋_GBK" w:cs="Times New Roman"/>
          <w:b/>
          <w:sz w:val="36"/>
          <w:szCs w:val="36"/>
          <w:highlight w:val="none"/>
          <w:lang w:val="en-US" w:eastAsia="zh-CN"/>
        </w:rPr>
        <w:sectPr>
          <w:pgSz w:w="16790" w:h="11910" w:orient="landscape"/>
          <w:pgMar w:top="1800" w:right="1440" w:bottom="1800" w:left="1440" w:header="0" w:footer="323" w:gutter="0"/>
          <w:pgNumType w:fmt="decimal"/>
          <w:cols w:space="720" w:num="1"/>
        </w:sectPr>
      </w:pPr>
    </w:p>
    <w:p>
      <w:pPr>
        <w:spacing w:before="51" w:line="219" w:lineRule="auto"/>
        <w:jc w:val="both"/>
        <w:rPr>
          <w:rFonts w:hint="default" w:ascii="Times New Roman" w:hAnsi="Times New Roman" w:eastAsia="宋体" w:cs="Times New Roman"/>
          <w:b/>
          <w:bCs/>
          <w:color w:val="auto"/>
          <w:spacing w:val="5"/>
          <w:sz w:val="28"/>
          <w:szCs w:val="28"/>
          <w:highlight w:val="none"/>
          <w:lang w:eastAsia="zh-CN"/>
        </w:rPr>
      </w:pPr>
      <w:r>
        <w:rPr>
          <w:rFonts w:hint="default" w:ascii="Times New Roman" w:hAnsi="Times New Roman" w:eastAsia="宋体" w:cs="Times New Roman"/>
          <w:b/>
          <w:bCs/>
          <w:color w:val="auto"/>
          <w:spacing w:val="5"/>
          <w:sz w:val="28"/>
          <w:szCs w:val="28"/>
          <w:highlight w:val="none"/>
          <w:lang w:eastAsia="zh-CN"/>
        </w:rPr>
        <w:t>附件：</w:t>
      </w:r>
    </w:p>
    <w:p>
      <w:pPr>
        <w:pStyle w:val="5"/>
        <w:jc w:val="center"/>
        <w:rPr>
          <w:rFonts w:hint="default" w:ascii="Times New Roman" w:hAnsi="Times New Roman" w:eastAsia="方正小标宋_GBK" w:cs="Times New Roman"/>
          <w:b/>
          <w:sz w:val="36"/>
          <w:szCs w:val="36"/>
          <w:highlight w:val="none"/>
          <w:lang w:val="en-US" w:eastAsia="zh-CN"/>
        </w:rPr>
      </w:pPr>
      <w:r>
        <w:rPr>
          <w:rFonts w:hint="default" w:ascii="Times New Roman" w:hAnsi="Times New Roman" w:eastAsia="方正小标宋_GBK" w:cs="Times New Roman"/>
          <w:b/>
          <w:sz w:val="32"/>
          <w:szCs w:val="32"/>
          <w:highlight w:val="none"/>
          <w:lang w:val="en-US" w:eastAsia="zh-CN"/>
        </w:rPr>
        <w:t>中央对地方专项转移支付区域绩效自评表</w:t>
      </w:r>
    </w:p>
    <w:tbl>
      <w:tblPr>
        <w:tblStyle w:val="13"/>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178"/>
        <w:gridCol w:w="1859"/>
        <w:gridCol w:w="3392"/>
        <w:gridCol w:w="2762"/>
        <w:gridCol w:w="1628"/>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转移支付（项目）名称</w:t>
            </w:r>
          </w:p>
        </w:tc>
        <w:tc>
          <w:tcPr>
            <w:tcW w:w="1273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中央财政农业生产发展专项（2022年实际种粮农民一次性项目）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273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中央主管部门</w:t>
            </w:r>
          </w:p>
        </w:tc>
        <w:tc>
          <w:tcPr>
            <w:tcW w:w="12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新疆维吾尔自治区财政厅、农业农村厅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地方主管部门</w:t>
            </w:r>
          </w:p>
        </w:tc>
        <w:tc>
          <w:tcPr>
            <w:tcW w:w="5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新疆维吾尔自治区农业农村厅</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资金使用单位</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农业农村厅种植业和农药管理处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资金投入情况</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（万元）</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全年预算数（A)</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全年执行数（B)</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预算执行率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年度资金总额：</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17260</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17260</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其中：中央财政资金</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17260</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17260</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地方资金</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其他资金</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资金管理情况</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情况说明</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分配科学性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我区粮食主导品种，确定为种植冬、春小麦的生产者。根据各地州种植情况分配资金。补贴标准为：按照小麦种植面积应补尽补的原则，按照219元/亩的标准优先保障春小麦面积增加部分；其余资金按照10元/亩的补贴标准，对小麦种植面积进行补贴。补贴方式：本次实际种粮农民一次性补贴与耕地地力保护补贴统筹使用，耕地地力保护补贴资金存在结余的地区，可与此次安排的一次性补贴资金一并统筹发放，提高资金使用效益。使实际种粮农民直接受益。</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下达及时性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5月21日《财政部关于再次下达2022年实际种粮农民一次性补贴资金预算的通知》（财农〔2022〕46号文）下达新疆种粮农民一次性补贴资金项目17260万元。2022年3月31日《关于下达2022年中央实际种粮农民一次性补贴资金预算的通知》（新财农〔2022〕17号文）资金分解下达及时。</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拨付合规性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农业农村厅关于印发&lt;新疆维吾尔自治区农业生产发展资金管理办法&gt;的通知》（新财规〔2020〕17号文）等文件拨付资金，资金拨付合规。</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使用规范性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参照自治区统一规定的春小麦补贴标准、条件和程序，制定补贴政策实施方案。实行逐级申报审核，严肃发放程序，坚决杜绝弄虚作假、徇私舞弊行为发生，确保实际种粮农民一次性补贴政策到户到人。</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执行准确性</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农业农村厅关于印发&lt;新疆维吾尔自治区农业生产发展资金管理办法&gt;的通知》（新财规〔2020〕17号文）等文件执行资金，资金执行合规。</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1"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预算绩效管理情况</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中共中央国务院关于全面实施预算绩效管理的意见》、《关于印发&lt;自治区本级部门预算绩效目标管理办法&gt;的通知》（新财预〔2017〕21号)、《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支出责任履行情况</w:t>
            </w:r>
          </w:p>
        </w:tc>
        <w:tc>
          <w:tcPr>
            <w:tcW w:w="615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对共同财政事权转移支付，按照财政事权和支出责任划分有关规定，足额安排资金履行本级支出责任，支出责任履行情况良好。</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总体目标完成情况</w:t>
            </w:r>
          </w:p>
        </w:tc>
        <w:tc>
          <w:tcPr>
            <w:tcW w:w="6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w:t>
            </w:r>
          </w:p>
        </w:tc>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4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目标1：全面完成中央财政农业生产发展专项要求的任务目标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目标2：按自治区实施方案要求及时完成项目资金支付</w:t>
            </w:r>
          </w:p>
        </w:tc>
        <w:tc>
          <w:tcPr>
            <w:tcW w:w="7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全面完成中央财政农业生产发展专项要求的任务目标，项目资金支付接近自治区序时进度，在全国支付率排名靠前。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4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4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绩</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一级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指标</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二级指标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三级指标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指标值</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成值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出</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数量指标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春小麦补贴缺口面积（万亩）</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23.08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23.08</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缺口资金（万元）</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5054.52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5054.52</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小麦补贴面积（万亩）</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1220.55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1220.55</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剩余补贴资金（万元）</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12205.5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12205.5</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质量指标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保障粮食安全能力</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明显提升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补贴资金兑付率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时效指标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补贴资金兑付实现</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2022年6月30日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2022年6月30日</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益</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经济效益指标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提高种粮农户收益</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社会效益指标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提高种粮农民积极性</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有所提高</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资金使用重大违规违纪问题</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满意</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度指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服务对象</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满意度指标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实际种粮农民政策补贴群众满意度（%）</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说明</w:t>
            </w:r>
          </w:p>
        </w:tc>
        <w:tc>
          <w:tcPr>
            <w:tcW w:w="13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r>
    </w:tbl>
    <w:p>
      <w:pPr>
        <w:pStyle w:val="5"/>
        <w:jc w:val="center"/>
        <w:rPr>
          <w:rFonts w:hint="default" w:ascii="Times New Roman" w:hAnsi="Times New Roman" w:eastAsia="方正小标宋_GBK" w:cs="Times New Roman"/>
          <w:b/>
          <w:sz w:val="36"/>
          <w:szCs w:val="36"/>
          <w:highlight w:val="none"/>
          <w:lang w:val="en-US" w:eastAsia="zh-CN"/>
        </w:rPr>
        <w:sectPr>
          <w:pgSz w:w="16790" w:h="11910" w:orient="landscape"/>
          <w:pgMar w:top="1800" w:right="1440" w:bottom="1800" w:left="1440" w:header="0" w:footer="323" w:gutter="0"/>
          <w:pgNumType w:fmt="decimal"/>
          <w:cols w:space="720" w:num="1"/>
        </w:sectPr>
      </w:pPr>
    </w:p>
    <w:p>
      <w:pPr>
        <w:spacing w:before="51" w:line="219" w:lineRule="auto"/>
        <w:jc w:val="both"/>
        <w:rPr>
          <w:rFonts w:hint="default" w:ascii="Times New Roman" w:hAnsi="Times New Roman" w:eastAsia="宋体" w:cs="Times New Roman"/>
          <w:b/>
          <w:bCs/>
          <w:color w:val="auto"/>
          <w:spacing w:val="5"/>
          <w:sz w:val="28"/>
          <w:szCs w:val="28"/>
          <w:highlight w:val="none"/>
          <w:lang w:eastAsia="zh-CN"/>
        </w:rPr>
      </w:pPr>
      <w:r>
        <w:rPr>
          <w:rFonts w:hint="default" w:ascii="Times New Roman" w:hAnsi="Times New Roman" w:eastAsia="宋体" w:cs="Times New Roman"/>
          <w:b/>
          <w:bCs/>
          <w:color w:val="auto"/>
          <w:spacing w:val="5"/>
          <w:sz w:val="28"/>
          <w:szCs w:val="28"/>
          <w:highlight w:val="none"/>
          <w:lang w:eastAsia="zh-CN"/>
        </w:rPr>
        <w:t>附件：</w:t>
      </w:r>
    </w:p>
    <w:p>
      <w:pPr>
        <w:pStyle w:val="5"/>
        <w:jc w:val="center"/>
        <w:rPr>
          <w:rFonts w:hint="default" w:ascii="Times New Roman" w:hAnsi="Times New Roman" w:eastAsia="方正小标宋_GBK" w:cs="Times New Roman"/>
          <w:b/>
          <w:bCs w:val="0"/>
          <w:sz w:val="32"/>
          <w:szCs w:val="32"/>
          <w:highlight w:val="none"/>
          <w:lang w:val="en-US" w:eastAsia="zh-CN"/>
        </w:rPr>
      </w:pPr>
      <w:r>
        <w:rPr>
          <w:rFonts w:hint="default" w:ascii="Times New Roman" w:hAnsi="Times New Roman" w:eastAsia="方正小标宋_GBK" w:cs="Times New Roman"/>
          <w:b/>
          <w:bCs w:val="0"/>
          <w:sz w:val="32"/>
          <w:szCs w:val="32"/>
          <w:highlight w:val="none"/>
          <w:lang w:val="en-US" w:eastAsia="zh-CN"/>
        </w:rPr>
        <w:t>中央对地方专项转移支付区域绩效自评表</w:t>
      </w:r>
    </w:p>
    <w:tbl>
      <w:tblPr>
        <w:tblStyle w:val="13"/>
        <w:tblW w:w="142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027"/>
        <w:gridCol w:w="2210"/>
        <w:gridCol w:w="3019"/>
        <w:gridCol w:w="2757"/>
        <w:gridCol w:w="1608"/>
        <w:gridCol w:w="3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转移支付（项目）名称</w:t>
            </w:r>
          </w:p>
        </w:tc>
        <w:tc>
          <w:tcPr>
            <w:tcW w:w="1268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中央财政农业生产发展专项（2022年实际种粮农民一次性项目）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26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中央主管部门</w:t>
            </w:r>
          </w:p>
        </w:tc>
        <w:tc>
          <w:tcPr>
            <w:tcW w:w="12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新疆维吾尔自治区财政厅、农业农村厅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地方主管部门</w:t>
            </w:r>
          </w:p>
        </w:tc>
        <w:tc>
          <w:tcPr>
            <w:tcW w:w="5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新疆维吾尔自治区农业农村厅</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资金使用单位</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农业农村厅种植业和农药管理处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资金投入情况</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（万元）</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全年预算数（A)</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全年执行数（B)</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预算执行率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年度资金总额：</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其中：中央财政资金</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地方资金</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其他资金</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资金管理情况</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情况说明</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分配科学性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我区粮食主导品种，确定为种植冬、春小麦的生产者。根据各地州种植情况分配资金。补贴标准为：按照小麦种植面积应补尽补的原则，按照219元/亩的标准优先保障春小麦面积增加部分；其余资金按照10元/亩的补贴标准，对小麦种植面积进行补贴。补贴方式：本次实际种粮农民一次性补贴与耕地地力保护补贴统筹使用，耕地地力保护补贴资金存在结余的地区，可与此次安排的一次性补贴资金一并统筹发放，提高资金使用效益。使实际种粮农民直接受益。</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下达及时性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5月21日《财政部关于再次下达2022年实际种粮农民一次性补贴资金预算的通知》（财农〔2022〕46号文）下达新疆种粮农民一次性补贴资金项目17260万元。2022年3月31日《关于下达2022年中央实际种粮农民一次性补贴资金预算的通知》（新财农〔2022〕17号文）资金分解下达及时。</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拨付合规性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农业农村厅关于印发&lt;新疆维吾尔自治区农业生产发展资金管理办法&gt;的通知》（新财规〔2020〕17号文）等文件拨付资金，资金拨付合规。</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使用规范性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参照自治区统一规定的春小麦补贴标准、条件和程序，制定补贴政策实施方案。实行逐级申报审核，严肃发放程序，坚决杜绝弄虚作假、徇私舞弊行为发生，确保实际种粮农民一次性补贴政策到户到人。</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执行准确性</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按照《新疆维吾尔自治区财政厅 农业农村厅关于印发&lt;新疆维吾尔自治区农业生产发展资金管理办法&gt;的通知》（新财规〔2020〕17号文）等文件执行资金，资金执行合规。</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预算绩效管理情况</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按照《中共中央国务院关于全面实施预算绩效管理的意见》、《关于印发&lt;自治区本级部门预算绩效目标管理办法&gt;的通知》（新财预〔2017〕21号)、《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支出责任履行情况</w:t>
            </w:r>
          </w:p>
        </w:tc>
        <w:tc>
          <w:tcPr>
            <w:tcW w:w="5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对共同财政事权转移支付，按照财政事权和支出责任划分有关规定，足额安排资金履行本级支出责任，支出责任履行情况良好。</w:t>
            </w:r>
          </w:p>
        </w:tc>
        <w:tc>
          <w:tcPr>
            <w:tcW w:w="4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总体目标完成情况</w:t>
            </w:r>
          </w:p>
        </w:tc>
        <w:tc>
          <w:tcPr>
            <w:tcW w:w="6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总体目标</w:t>
            </w:r>
          </w:p>
        </w:tc>
        <w:tc>
          <w:tcPr>
            <w:tcW w:w="7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2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目标1：全面完成中央财政农业生产发展专项要求的任务目标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目标2：按自治区实施方案要求及时完成项目资金支付</w:t>
            </w:r>
          </w:p>
        </w:tc>
        <w:tc>
          <w:tcPr>
            <w:tcW w:w="74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全面完成中央财政农业生产发展专项要求的任务目标，项目资金支付接近自治区序时进度，在全国支付率排名靠前。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2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4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2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c>
          <w:tcPr>
            <w:tcW w:w="74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绩</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效</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一级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二级指标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三级指标</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指标值</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全年实际完</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成值</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产</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出</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数量指标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小麦补贴面积</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1168.7万亩</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1168.7万亩</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19868万元</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38356万元</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质量指标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保障粮食安全能力</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明显提升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明显提升</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补贴资金兑付率</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时效指标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补贴资金兑付实现</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2022年9月30日</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2022年9月30日</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成本指标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提高种粮农户收益</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效益指标</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社会效益指标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提高种粮农民积极性</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有所提高</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资金使用重大违规违纪问题</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100%</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满意</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度指</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服务对象</w:t>
            </w:r>
            <w:r>
              <w:rPr>
                <w:rFonts w:hint="eastAsia" w:ascii="宋体" w:hAnsi="宋体" w:eastAsia="宋体" w:cs="宋体"/>
                <w:i w:val="0"/>
                <w:iCs w:val="0"/>
                <w:snapToGrid w:val="0"/>
                <w:color w:val="000000"/>
                <w:kern w:val="0"/>
                <w:sz w:val="15"/>
                <w:szCs w:val="15"/>
                <w:highlight w:val="none"/>
                <w:u w:val="none"/>
                <w:lang w:val="en-US" w:eastAsia="zh-CN" w:bidi="ar"/>
              </w:rPr>
              <w:br w:type="textWrapping"/>
            </w:r>
            <w:r>
              <w:rPr>
                <w:rFonts w:hint="eastAsia" w:ascii="宋体" w:hAnsi="宋体" w:eastAsia="宋体" w:cs="宋体"/>
                <w:i w:val="0"/>
                <w:iCs w:val="0"/>
                <w:snapToGrid w:val="0"/>
                <w:color w:val="000000"/>
                <w:kern w:val="0"/>
                <w:sz w:val="15"/>
                <w:szCs w:val="15"/>
                <w:highlight w:val="none"/>
                <w:u w:val="none"/>
                <w:lang w:val="en-US" w:eastAsia="zh-CN" w:bidi="ar"/>
              </w:rPr>
              <w:t>满意度指标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实际种粮农民政策补贴群众满意度（%）</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≧85%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95%</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说明</w:t>
            </w:r>
          </w:p>
        </w:tc>
        <w:tc>
          <w:tcPr>
            <w:tcW w:w="13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无</w:t>
            </w:r>
          </w:p>
        </w:tc>
      </w:tr>
    </w:tbl>
    <w:p>
      <w:pPr>
        <w:pStyle w:val="5"/>
        <w:jc w:val="center"/>
        <w:rPr>
          <w:rFonts w:hint="default" w:ascii="Times New Roman" w:hAnsi="Times New Roman" w:eastAsia="方正小标宋_GBK" w:cs="Times New Roman"/>
          <w:b/>
          <w:sz w:val="36"/>
          <w:szCs w:val="36"/>
          <w:highlight w:val="none"/>
          <w:lang w:val="en-US" w:eastAsia="zh-CN"/>
        </w:rPr>
      </w:pPr>
    </w:p>
    <w:sectPr>
      <w:pgSz w:w="16790" w:h="11910" w:orient="landscape"/>
      <w:pgMar w:top="1800" w:right="1440" w:bottom="1800" w:left="1440" w:header="0" w:footer="32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604"/>
      <w:rPr>
        <w:rFonts w:ascii="宋体" w:hAnsi="宋体" w:eastAsia="宋体" w:cs="宋体"/>
        <w:sz w:val="23"/>
        <w:szCs w:val="23"/>
      </w:rPr>
    </w:pPr>
    <w:r>
      <w:rPr>
        <w:sz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ZjE0MmYzZjc0MGQ4MDdkYjQ4OTU3OWRmMTBmMzMifQ=="/>
  </w:docVars>
  <w:rsids>
    <w:rsidRoot w:val="6C091B39"/>
    <w:rsid w:val="01217A4A"/>
    <w:rsid w:val="0132783D"/>
    <w:rsid w:val="02084781"/>
    <w:rsid w:val="02BF15A4"/>
    <w:rsid w:val="040D635A"/>
    <w:rsid w:val="042034E2"/>
    <w:rsid w:val="04504BAA"/>
    <w:rsid w:val="05435EBC"/>
    <w:rsid w:val="086B7F0C"/>
    <w:rsid w:val="08D8659B"/>
    <w:rsid w:val="09A137B2"/>
    <w:rsid w:val="0AE778EA"/>
    <w:rsid w:val="0BF422BF"/>
    <w:rsid w:val="0C7B2F0B"/>
    <w:rsid w:val="0CA537EC"/>
    <w:rsid w:val="0D215336"/>
    <w:rsid w:val="0D3A1F53"/>
    <w:rsid w:val="0DDD6D83"/>
    <w:rsid w:val="0DE317F3"/>
    <w:rsid w:val="0E2A413A"/>
    <w:rsid w:val="0E54101D"/>
    <w:rsid w:val="0EB126E9"/>
    <w:rsid w:val="0FD022B3"/>
    <w:rsid w:val="115B4B8E"/>
    <w:rsid w:val="12485112"/>
    <w:rsid w:val="127D7B24"/>
    <w:rsid w:val="12B72298"/>
    <w:rsid w:val="131D034D"/>
    <w:rsid w:val="131E40C5"/>
    <w:rsid w:val="134E22E1"/>
    <w:rsid w:val="13781A27"/>
    <w:rsid w:val="13DD3654"/>
    <w:rsid w:val="141A15E2"/>
    <w:rsid w:val="145853B5"/>
    <w:rsid w:val="146C2035"/>
    <w:rsid w:val="148D505F"/>
    <w:rsid w:val="14EF5D19"/>
    <w:rsid w:val="15CE0DB5"/>
    <w:rsid w:val="160C5E2A"/>
    <w:rsid w:val="16515A6F"/>
    <w:rsid w:val="176302F9"/>
    <w:rsid w:val="178E6F3E"/>
    <w:rsid w:val="17EA0A1A"/>
    <w:rsid w:val="19921369"/>
    <w:rsid w:val="19A35324"/>
    <w:rsid w:val="1A5F6F1F"/>
    <w:rsid w:val="1A700E8A"/>
    <w:rsid w:val="1B4D19EC"/>
    <w:rsid w:val="1B7704DB"/>
    <w:rsid w:val="1C7134B8"/>
    <w:rsid w:val="1D0B5FA6"/>
    <w:rsid w:val="1E49007E"/>
    <w:rsid w:val="1EA367DE"/>
    <w:rsid w:val="1F0028D1"/>
    <w:rsid w:val="1F32171E"/>
    <w:rsid w:val="1F3903B5"/>
    <w:rsid w:val="1FC203F0"/>
    <w:rsid w:val="1FE30736"/>
    <w:rsid w:val="2035036D"/>
    <w:rsid w:val="206A6B9C"/>
    <w:rsid w:val="20EC5803"/>
    <w:rsid w:val="2120725A"/>
    <w:rsid w:val="213F1DD6"/>
    <w:rsid w:val="226F2247"/>
    <w:rsid w:val="23AB72AF"/>
    <w:rsid w:val="23D34A58"/>
    <w:rsid w:val="249D7540"/>
    <w:rsid w:val="26713510"/>
    <w:rsid w:val="26773DC1"/>
    <w:rsid w:val="267C13D7"/>
    <w:rsid w:val="27B158D4"/>
    <w:rsid w:val="27DB3EDB"/>
    <w:rsid w:val="28575C58"/>
    <w:rsid w:val="28D41056"/>
    <w:rsid w:val="296C5733"/>
    <w:rsid w:val="29FF17A1"/>
    <w:rsid w:val="2B710DDE"/>
    <w:rsid w:val="2BAF7B59"/>
    <w:rsid w:val="2C1005F7"/>
    <w:rsid w:val="2E344345"/>
    <w:rsid w:val="2E581416"/>
    <w:rsid w:val="2E5B77C2"/>
    <w:rsid w:val="2E773EAB"/>
    <w:rsid w:val="2EEB70FA"/>
    <w:rsid w:val="30FD4124"/>
    <w:rsid w:val="31097D0B"/>
    <w:rsid w:val="31670E8B"/>
    <w:rsid w:val="327A2C6E"/>
    <w:rsid w:val="32CE6B16"/>
    <w:rsid w:val="34945B3E"/>
    <w:rsid w:val="34BE151D"/>
    <w:rsid w:val="35AB313F"/>
    <w:rsid w:val="35FC7E3E"/>
    <w:rsid w:val="37C150EA"/>
    <w:rsid w:val="38CC152B"/>
    <w:rsid w:val="38D1110E"/>
    <w:rsid w:val="395D0826"/>
    <w:rsid w:val="39934616"/>
    <w:rsid w:val="3A347BA7"/>
    <w:rsid w:val="3A7C3A5F"/>
    <w:rsid w:val="3A9B19D4"/>
    <w:rsid w:val="3A9C574C"/>
    <w:rsid w:val="3B252A9B"/>
    <w:rsid w:val="3D5347E8"/>
    <w:rsid w:val="3DFF03C5"/>
    <w:rsid w:val="3E7E7642"/>
    <w:rsid w:val="3FC10A9F"/>
    <w:rsid w:val="410447A5"/>
    <w:rsid w:val="417E7959"/>
    <w:rsid w:val="41F93484"/>
    <w:rsid w:val="42FC3C8E"/>
    <w:rsid w:val="439B14B2"/>
    <w:rsid w:val="45765221"/>
    <w:rsid w:val="47AB5220"/>
    <w:rsid w:val="47BE3DE5"/>
    <w:rsid w:val="484A4A39"/>
    <w:rsid w:val="489204FC"/>
    <w:rsid w:val="48E56510"/>
    <w:rsid w:val="496D5BBB"/>
    <w:rsid w:val="49A758BF"/>
    <w:rsid w:val="49CD5662"/>
    <w:rsid w:val="4A282B58"/>
    <w:rsid w:val="4A987CDE"/>
    <w:rsid w:val="4B211294"/>
    <w:rsid w:val="4B4420DB"/>
    <w:rsid w:val="4D76426D"/>
    <w:rsid w:val="4E73598B"/>
    <w:rsid w:val="4EE80275"/>
    <w:rsid w:val="4FF21AC3"/>
    <w:rsid w:val="501871CB"/>
    <w:rsid w:val="535E583D"/>
    <w:rsid w:val="53BA6F17"/>
    <w:rsid w:val="53D03945"/>
    <w:rsid w:val="5492729D"/>
    <w:rsid w:val="54CA318A"/>
    <w:rsid w:val="563B08E6"/>
    <w:rsid w:val="58C85C32"/>
    <w:rsid w:val="58DC3E49"/>
    <w:rsid w:val="59154BEF"/>
    <w:rsid w:val="599C169F"/>
    <w:rsid w:val="5B991B08"/>
    <w:rsid w:val="5BC61027"/>
    <w:rsid w:val="5C243CAD"/>
    <w:rsid w:val="5D852344"/>
    <w:rsid w:val="5E5C3995"/>
    <w:rsid w:val="5E8B615C"/>
    <w:rsid w:val="5FEA46E0"/>
    <w:rsid w:val="60206354"/>
    <w:rsid w:val="61F0069B"/>
    <w:rsid w:val="62AA710B"/>
    <w:rsid w:val="630930CF"/>
    <w:rsid w:val="639037F0"/>
    <w:rsid w:val="64C04F05"/>
    <w:rsid w:val="64F7289F"/>
    <w:rsid w:val="657F1D6E"/>
    <w:rsid w:val="661C136B"/>
    <w:rsid w:val="669C5E64"/>
    <w:rsid w:val="67177D85"/>
    <w:rsid w:val="672646CF"/>
    <w:rsid w:val="678B49FB"/>
    <w:rsid w:val="68702CA3"/>
    <w:rsid w:val="69A00505"/>
    <w:rsid w:val="6A9260A0"/>
    <w:rsid w:val="6A966FF2"/>
    <w:rsid w:val="6BE02E3B"/>
    <w:rsid w:val="6C091B39"/>
    <w:rsid w:val="6C4909E0"/>
    <w:rsid w:val="6CA9147F"/>
    <w:rsid w:val="6DA00AD4"/>
    <w:rsid w:val="6E9B9BD3"/>
    <w:rsid w:val="6F712945"/>
    <w:rsid w:val="6F95397E"/>
    <w:rsid w:val="707F4F0C"/>
    <w:rsid w:val="716D5287"/>
    <w:rsid w:val="72495B34"/>
    <w:rsid w:val="72744FEC"/>
    <w:rsid w:val="728111B6"/>
    <w:rsid w:val="75AF5D58"/>
    <w:rsid w:val="75BC2734"/>
    <w:rsid w:val="767825EE"/>
    <w:rsid w:val="76A5468F"/>
    <w:rsid w:val="77EB6DF0"/>
    <w:rsid w:val="78034A42"/>
    <w:rsid w:val="78931861"/>
    <w:rsid w:val="78A21633"/>
    <w:rsid w:val="790B05B7"/>
    <w:rsid w:val="7B6E2211"/>
    <w:rsid w:val="7B8E6410"/>
    <w:rsid w:val="7BDA7B3A"/>
    <w:rsid w:val="7C305719"/>
    <w:rsid w:val="7C3B19E2"/>
    <w:rsid w:val="7D1868D9"/>
    <w:rsid w:val="7D3E3E65"/>
    <w:rsid w:val="7D7FE7ED"/>
    <w:rsid w:val="7F166E48"/>
    <w:rsid w:val="BFBF6006"/>
    <w:rsid w:val="C7FFC8B0"/>
    <w:rsid w:val="CFEF0CF0"/>
    <w:rsid w:val="FAFF4BDB"/>
    <w:rsid w:val="FFEF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basedOn w:val="1"/>
    <w:next w:val="1"/>
    <w:unhideWhenUsed/>
    <w:qFormat/>
    <w:uiPriority w:val="0"/>
    <w:pPr>
      <w:keepNext/>
      <w:keepLines/>
      <w:spacing w:beforeLines="0" w:beforeAutospacing="0" w:afterLines="0" w:afterAutospacing="0" w:line="240" w:lineRule="auto"/>
      <w:outlineLvl w:val="1"/>
    </w:pPr>
    <w:rPr>
      <w:rFonts w:ascii="仿宋_GB2312" w:hAnsi="仿宋_GB2312"/>
    </w:rPr>
  </w:style>
  <w:style w:type="paragraph" w:styleId="8">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rFonts w:ascii="Calibri" w:hAnsi="Calibri"/>
    </w:rPr>
  </w:style>
  <w:style w:type="paragraph" w:styleId="3">
    <w:name w:val="Body Text Indent"/>
    <w:basedOn w:val="1"/>
    <w:next w:val="4"/>
    <w:semiHidden/>
    <w:qFormat/>
    <w:uiPriority w:val="99"/>
    <w:pPr>
      <w:spacing w:after="120"/>
      <w:ind w:left="420" w:leftChars="200"/>
    </w:pPr>
  </w:style>
  <w:style w:type="paragraph" w:styleId="4">
    <w:name w:val="Normal Indent"/>
    <w:basedOn w:val="1"/>
    <w:unhideWhenUsed/>
    <w:qFormat/>
    <w:uiPriority w:val="99"/>
    <w:pPr>
      <w:ind w:firstLine="420" w:firstLineChars="200"/>
    </w:pPr>
    <w:rPr>
      <w:rFonts w:eastAsia="仿宋"/>
      <w:sz w:val="32"/>
    </w:r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p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0"/>
    <w:pPr>
      <w:spacing w:before="120" w:after="120"/>
      <w:jc w:val="left"/>
    </w:pPr>
    <w:rPr>
      <w:b/>
      <w:bCs/>
      <w:caps/>
      <w:sz w:val="20"/>
      <w:szCs w:val="20"/>
    </w:rPr>
  </w:style>
  <w:style w:type="paragraph" w:customStyle="1" w:styleId="15">
    <w:name w:val="BodyText"/>
    <w:basedOn w:val="1"/>
    <w:qFormat/>
    <w:uiPriority w:val="0"/>
    <w:pPr>
      <w:spacing w:after="120"/>
      <w:jc w:val="both"/>
    </w:pPr>
    <w:rPr>
      <w:rFonts w:ascii="Calibri" w:hAnsi="Calibri" w:eastAsia="宋体"/>
      <w:sz w:val="20"/>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31"/>
    <w:basedOn w:val="14"/>
    <w:qFormat/>
    <w:uiPriority w:val="0"/>
    <w:rPr>
      <w:rFonts w:hint="eastAsia" w:ascii="宋体" w:hAnsi="宋体" w:eastAsia="宋体" w:cs="宋体"/>
      <w:color w:val="000000"/>
      <w:sz w:val="14"/>
      <w:szCs w:val="14"/>
      <w:u w:val="none"/>
    </w:rPr>
  </w:style>
  <w:style w:type="character" w:customStyle="1" w:styleId="18">
    <w:name w:val="font71"/>
    <w:basedOn w:val="14"/>
    <w:qFormat/>
    <w:uiPriority w:val="0"/>
    <w:rPr>
      <w:rFonts w:hint="default" w:ascii="Times New Roman" w:hAnsi="Times New Roman" w:cs="Times New Roman"/>
      <w:b/>
      <w:bCs/>
      <w:color w:val="000000"/>
      <w:sz w:val="15"/>
      <w:szCs w:val="15"/>
      <w:u w:val="none"/>
    </w:rPr>
  </w:style>
  <w:style w:type="character" w:customStyle="1" w:styleId="19">
    <w:name w:val="font11"/>
    <w:basedOn w:val="14"/>
    <w:qFormat/>
    <w:uiPriority w:val="0"/>
    <w:rPr>
      <w:rFonts w:hint="eastAsia" w:ascii="宋体" w:hAnsi="宋体" w:eastAsia="宋体" w:cs="宋体"/>
      <w:b/>
      <w:bCs/>
      <w:color w:val="000000"/>
      <w:sz w:val="15"/>
      <w:szCs w:val="15"/>
      <w:u w:val="none"/>
    </w:rPr>
  </w:style>
  <w:style w:type="character" w:customStyle="1" w:styleId="20">
    <w:name w:val="font61"/>
    <w:basedOn w:val="14"/>
    <w:qFormat/>
    <w:uiPriority w:val="0"/>
    <w:rPr>
      <w:rFonts w:hint="eastAsia" w:ascii="宋体" w:hAnsi="宋体" w:eastAsia="宋体" w:cs="宋体"/>
      <w:color w:val="000000"/>
      <w:sz w:val="14"/>
      <w:szCs w:val="14"/>
      <w:u w:val="none"/>
    </w:rPr>
  </w:style>
  <w:style w:type="character" w:customStyle="1" w:styleId="21">
    <w:name w:val="font21"/>
    <w:basedOn w:val="14"/>
    <w:qFormat/>
    <w:uiPriority w:val="0"/>
    <w:rPr>
      <w:rFonts w:hint="default" w:ascii="Times New Roman" w:hAnsi="Times New Roman" w:cs="Times New Roman"/>
      <w:color w:val="000000"/>
      <w:sz w:val="15"/>
      <w:szCs w:val="15"/>
      <w:u w:val="none"/>
    </w:rPr>
  </w:style>
  <w:style w:type="character" w:customStyle="1" w:styleId="22">
    <w:name w:val="font51"/>
    <w:basedOn w:val="14"/>
    <w:qFormat/>
    <w:uiPriority w:val="0"/>
    <w:rPr>
      <w:rFonts w:hint="eastAsia" w:ascii="宋体" w:hAnsi="宋体" w:eastAsia="宋体" w:cs="宋体"/>
      <w:color w:val="000000"/>
      <w:sz w:val="15"/>
      <w:szCs w:val="15"/>
      <w:u w:val="none"/>
    </w:rPr>
  </w:style>
  <w:style w:type="paragraph" w:customStyle="1" w:styleId="23">
    <w:name w:val="正文文字 1"/>
    <w:basedOn w:val="1"/>
    <w:next w:val="1"/>
    <w:qFormat/>
    <w:uiPriority w:val="99"/>
    <w:pPr>
      <w:ind w:left="240"/>
    </w:pPr>
    <w:rPr>
      <w:rFonts w:ascii="等线" w:hAnsi="等线" w:eastAsia="等线" w:cs="黑体"/>
      <w:sz w:val="28"/>
      <w:szCs w:val="22"/>
    </w:rPr>
  </w:style>
  <w:style w:type="paragraph" w:customStyle="1" w:styleId="24">
    <w:name w:val="Char"/>
    <w:basedOn w:val="1"/>
    <w:qFormat/>
    <w:uiPriority w:val="99"/>
    <w:rPr>
      <w:szCs w:val="20"/>
    </w:rPr>
  </w:style>
  <w:style w:type="character" w:customStyle="1" w:styleId="25">
    <w:name w:val="font01"/>
    <w:basedOn w:val="14"/>
    <w:qFormat/>
    <w:uiPriority w:val="0"/>
    <w:rPr>
      <w:rFonts w:hint="eastAsia" w:ascii="宋体" w:hAnsi="宋体" w:eastAsia="宋体" w:cs="宋体"/>
      <w:color w:val="000000"/>
      <w:sz w:val="15"/>
      <w:szCs w:val="15"/>
      <w:u w:val="none"/>
    </w:rPr>
  </w:style>
  <w:style w:type="character" w:customStyle="1" w:styleId="26">
    <w:name w:val="font41"/>
    <w:basedOn w:val="14"/>
    <w:qFormat/>
    <w:uiPriority w:val="0"/>
    <w:rPr>
      <w:rFonts w:hint="default" w:ascii="Times New Roman" w:hAnsi="Times New Roman" w:cs="Times New Roman"/>
      <w:color w:val="000000"/>
      <w:sz w:val="15"/>
      <w:szCs w:val="15"/>
      <w:u w:val="none"/>
    </w:rPr>
  </w:style>
  <w:style w:type="character" w:customStyle="1" w:styleId="27">
    <w:name w:val="font111"/>
    <w:basedOn w:val="14"/>
    <w:qFormat/>
    <w:uiPriority w:val="0"/>
    <w:rPr>
      <w:rFonts w:hint="eastAsia" w:ascii="仿宋_GB2312" w:eastAsia="仿宋_GB2312" w:cs="仿宋_GB2312"/>
      <w:color w:val="000000"/>
      <w:sz w:val="16"/>
      <w:szCs w:val="16"/>
      <w:u w:val="none"/>
    </w:rPr>
  </w:style>
  <w:style w:type="character" w:customStyle="1" w:styleId="28">
    <w:name w:val="font131"/>
    <w:basedOn w:val="14"/>
    <w:qFormat/>
    <w:uiPriority w:val="0"/>
    <w:rPr>
      <w:rFonts w:hint="default" w:ascii="Times New Roman" w:hAnsi="Times New Roman" w:cs="Times New Roman"/>
      <w:color w:val="000000"/>
      <w:sz w:val="16"/>
      <w:szCs w:val="16"/>
      <w:u w:val="none"/>
    </w:rPr>
  </w:style>
  <w:style w:type="character" w:customStyle="1" w:styleId="29">
    <w:name w:val="font171"/>
    <w:basedOn w:val="14"/>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24597</Words>
  <Characters>30051</Characters>
  <Lines>0</Lines>
  <Paragraphs>0</Paragraphs>
  <TotalTime>1</TotalTime>
  <ScaleCrop>false</ScaleCrop>
  <LinksUpToDate>false</LinksUpToDate>
  <CharactersWithSpaces>30162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2023-02-23T17:12:00Z</dcterms:created>
  <dc:creator>Qin.</dc:creator>
  <cp:lastModifiedBy>user</cp:lastModifiedBy>
  <cp:lastPrinted>2023-05-12T13:53:00Z</cp:lastPrinted>
  <dcterms:modified xsi:type="dcterms:W3CDTF">2025-02-07T11:20:21Z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68D92A30B08441D4BA99C4282F366D0A</vt:lpwstr>
  </property>
</Properties>
</file>