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120" w:beforeAutospacing="0" w:after="120" w:afterAutospacing="0" w:line="520" w:lineRule="exact"/>
        <w:jc w:val="center"/>
        <w:rPr>
          <w:rFonts w:hint="default" w:ascii="Times New Roman" w:hAnsi="Times New Roman" w:eastAsia="方正小标宋简体"/>
          <w:sz w:val="44"/>
          <w:szCs w:val="44"/>
        </w:rPr>
      </w:pPr>
    </w:p>
    <w:p>
      <w:pPr>
        <w:pStyle w:val="2"/>
        <w:widowControl/>
        <w:spacing w:before="120" w:beforeAutospacing="0" w:after="120" w:afterAutospacing="0" w:line="520" w:lineRule="exact"/>
        <w:jc w:val="center"/>
        <w:rPr>
          <w:rFonts w:hint="default" w:ascii="Times New Roman" w:hAnsi="Times New Roman" w:eastAsia="方正小标宋简体"/>
          <w:b w:val="0"/>
          <w:bCs/>
          <w:sz w:val="44"/>
          <w:szCs w:val="44"/>
        </w:rPr>
      </w:pPr>
      <w:r>
        <w:rPr>
          <w:rFonts w:hint="default" w:ascii="Times New Roman" w:hAnsi="Times New Roman" w:eastAsia="方正小标宋简体"/>
          <w:b w:val="0"/>
          <w:bCs/>
          <w:sz w:val="44"/>
          <w:szCs w:val="44"/>
        </w:rPr>
        <w:t>关于印发《新疆维吾尔自治区2021-2023年农业机械购置补贴实施方案》的通知</w:t>
      </w:r>
    </w:p>
    <w:p>
      <w:pPr>
        <w:rPr>
          <w:rFonts w:hint="default"/>
        </w:rPr>
      </w:pPr>
    </w:p>
    <w:p>
      <w:pPr>
        <w:pStyle w:val="4"/>
        <w:widowControl/>
        <w:spacing w:before="168" w:beforeAutospacing="0" w:afterAutospacing="0" w:line="520" w:lineRule="exact"/>
        <w:rPr>
          <w:rFonts w:ascii="Times New Roman" w:hAnsi="Times New Roman" w:eastAsia="仿宋_GB2312"/>
          <w:sz w:val="32"/>
          <w:szCs w:val="32"/>
        </w:rPr>
      </w:pPr>
      <w:r>
        <w:rPr>
          <w:rFonts w:ascii="Times New Roman" w:hAnsi="Times New Roman" w:eastAsia="仿宋_GB2312"/>
          <w:color w:val="000000"/>
          <w:sz w:val="32"/>
          <w:szCs w:val="32"/>
        </w:rPr>
        <w:t>伊犁哈萨克自治州农业农村局、财政局，各地（州、市）农业农村局、财政局：</w:t>
      </w:r>
    </w:p>
    <w:p>
      <w:pPr>
        <w:pStyle w:val="4"/>
        <w:widowControl/>
        <w:spacing w:before="168" w:beforeAutospacing="0" w:afterAutospacing="0" w:line="520" w:lineRule="exact"/>
        <w:rPr>
          <w:rFonts w:ascii="Times New Roman" w:hAnsi="Times New Roman" w:eastAsia="仿宋_GB2312"/>
          <w:sz w:val="32"/>
          <w:szCs w:val="32"/>
        </w:rPr>
      </w:pPr>
      <w:r>
        <w:rPr>
          <w:rFonts w:ascii="Times New Roman" w:hAnsi="Times New Roman" w:eastAsia="仿宋_GB2312"/>
          <w:sz w:val="32"/>
          <w:szCs w:val="32"/>
        </w:rPr>
        <w:t>     </w:t>
      </w:r>
      <w:bookmarkStart w:id="0" w:name="_GoBack"/>
      <w:bookmarkEnd w:id="0"/>
      <w:r>
        <w:rPr>
          <w:rFonts w:ascii="Times New Roman" w:hAnsi="Times New Roman" w:eastAsia="仿宋_GB2312"/>
          <w:color w:val="000000"/>
          <w:sz w:val="32"/>
          <w:szCs w:val="32"/>
        </w:rPr>
        <w:t>为指导各地规范实施农机购置补贴政策，充分发挥政策效益，推动农业机械化向全程全面高质高效转型升级，助力全面推进乡村振兴和加快农业农村现代化，根据农业农村部办公厅、财政部办公厅《关于印发2021-2023年农业机械购置补贴实施指导意见的通知》（农办计财〔2021〕8号）精神，组织制定了《新疆维吾尔自治区2021-2023年农业机械购置补贴实施方案》，现印发你们，请遵照执行。 </w:t>
      </w:r>
    </w:p>
    <w:p>
      <w:pPr>
        <w:pStyle w:val="4"/>
        <w:widowControl/>
        <w:spacing w:before="168" w:beforeAutospacing="0" w:afterAutospacing="0" w:line="520" w:lineRule="exact"/>
        <w:ind w:firstLine="640"/>
        <w:rPr>
          <w:rFonts w:ascii="Times New Roman" w:hAnsi="Times New Roman" w:eastAsia="仿宋_GB2312"/>
          <w:color w:val="000000"/>
          <w:spacing w:val="-20"/>
          <w:sz w:val="32"/>
          <w:szCs w:val="32"/>
        </w:rPr>
      </w:pPr>
      <w:r>
        <w:rPr>
          <w:rFonts w:ascii="Times New Roman" w:hAnsi="Times New Roman" w:eastAsia="仿宋_GB2312"/>
          <w:color w:val="000000"/>
          <w:sz w:val="32"/>
          <w:szCs w:val="32"/>
        </w:rPr>
        <w:t>附件：1.</w:t>
      </w:r>
      <w:r>
        <w:rPr>
          <w:rFonts w:ascii="Times New Roman" w:hAnsi="Times New Roman" w:eastAsia="仿宋_GB2312"/>
          <w:color w:val="000000"/>
          <w:spacing w:val="-20"/>
          <w:sz w:val="32"/>
          <w:szCs w:val="32"/>
        </w:rPr>
        <w:t>新疆维吾尔自治区2021-2023年农业机械购置补贴实</w:t>
      </w:r>
    </w:p>
    <w:p>
      <w:pPr>
        <w:pStyle w:val="4"/>
        <w:widowControl/>
        <w:spacing w:before="168" w:beforeAutospacing="0" w:afterAutospacing="0" w:line="520" w:lineRule="exact"/>
        <w:ind w:firstLine="1688" w:firstLineChars="603"/>
        <w:rPr>
          <w:rFonts w:ascii="Times New Roman" w:hAnsi="Times New Roman" w:eastAsia="仿宋_GB2312"/>
          <w:sz w:val="32"/>
          <w:szCs w:val="32"/>
        </w:rPr>
      </w:pPr>
      <w:r>
        <w:rPr>
          <w:rFonts w:ascii="Times New Roman" w:hAnsi="Times New Roman" w:eastAsia="仿宋_GB2312"/>
          <w:color w:val="000000"/>
          <w:spacing w:val="-20"/>
          <w:sz w:val="32"/>
          <w:szCs w:val="32"/>
        </w:rPr>
        <w:t>施方案</w:t>
      </w:r>
    </w:p>
    <w:p>
      <w:pPr>
        <w:pStyle w:val="4"/>
        <w:widowControl/>
        <w:spacing w:before="168" w:beforeAutospacing="0" w:afterAutospacing="0" w:line="520" w:lineRule="exact"/>
        <w:ind w:left="319" w:leftChars="152" w:firstLine="652" w:firstLineChars="204"/>
        <w:rPr>
          <w:rFonts w:ascii="Times New Roman" w:hAnsi="Times New Roman" w:eastAsia="仿宋_GB2312"/>
          <w:color w:val="000000"/>
          <w:sz w:val="32"/>
          <w:szCs w:val="32"/>
        </w:rPr>
      </w:pPr>
      <w:r>
        <w:rPr>
          <w:rFonts w:ascii="Times New Roman" w:hAnsi="Times New Roman" w:eastAsia="仿宋_GB2312"/>
          <w:color w:val="000000"/>
          <w:sz w:val="32"/>
          <w:szCs w:val="32"/>
        </w:rPr>
        <w:t>       2.2021-2023年新疆维吾尔自治区农机购置补贴</w:t>
      </w:r>
    </w:p>
    <w:p>
      <w:pPr>
        <w:pStyle w:val="4"/>
        <w:widowControl/>
        <w:spacing w:before="168" w:beforeAutospacing="0" w:afterAutospacing="0" w:line="520" w:lineRule="exact"/>
        <w:ind w:left="319" w:leftChars="152" w:firstLine="1603" w:firstLineChars="501"/>
        <w:rPr>
          <w:rFonts w:ascii="Times New Roman" w:hAnsi="Times New Roman" w:eastAsia="仿宋_GB2312"/>
          <w:sz w:val="32"/>
          <w:szCs w:val="32"/>
        </w:rPr>
      </w:pPr>
      <w:r>
        <w:rPr>
          <w:rFonts w:ascii="Times New Roman" w:hAnsi="Times New Roman" w:eastAsia="仿宋_GB2312"/>
          <w:color w:val="000000"/>
          <w:sz w:val="32"/>
          <w:szCs w:val="32"/>
        </w:rPr>
        <w:t>机具种类范围</w:t>
      </w:r>
    </w:p>
    <w:p>
      <w:pPr>
        <w:pStyle w:val="4"/>
        <w:widowControl/>
        <w:spacing w:before="168" w:beforeAutospacing="0" w:afterAutospacing="0" w:line="520" w:lineRule="exact"/>
        <w:ind w:firstLine="640"/>
        <w:jc w:val="right"/>
        <w:rPr>
          <w:rFonts w:ascii="Times New Roman" w:hAnsi="Times New Roman" w:eastAsia="仿宋_GB2312"/>
          <w:color w:val="000000"/>
          <w:sz w:val="32"/>
          <w:szCs w:val="32"/>
        </w:rPr>
      </w:pPr>
    </w:p>
    <w:p>
      <w:pPr>
        <w:pStyle w:val="4"/>
        <w:widowControl/>
        <w:spacing w:before="168" w:beforeAutospacing="0" w:afterAutospacing="0" w:line="520" w:lineRule="exact"/>
        <w:ind w:firstLine="640"/>
        <w:jc w:val="right"/>
        <w:rPr>
          <w:rFonts w:ascii="Times New Roman" w:hAnsi="Times New Roman" w:eastAsia="仿宋_GB2312"/>
          <w:color w:val="000000"/>
          <w:sz w:val="32"/>
          <w:szCs w:val="32"/>
        </w:rPr>
      </w:pPr>
    </w:p>
    <w:p>
      <w:pPr>
        <w:pStyle w:val="4"/>
        <w:widowControl/>
        <w:spacing w:before="168" w:beforeAutospacing="0" w:afterAutospacing="0" w:line="520" w:lineRule="exact"/>
        <w:ind w:firstLine="1609" w:firstLineChars="503"/>
        <w:jc w:val="both"/>
        <w:rPr>
          <w:rFonts w:ascii="Times New Roman" w:hAnsi="Times New Roman" w:eastAsia="仿宋_GB2312"/>
          <w:sz w:val="32"/>
          <w:szCs w:val="32"/>
        </w:rPr>
      </w:pPr>
      <w:r>
        <w:rPr>
          <w:rFonts w:ascii="Times New Roman" w:hAnsi="Times New Roman" w:eastAsia="仿宋_GB2312"/>
          <w:color w:val="000000"/>
          <w:sz w:val="32"/>
          <w:szCs w:val="32"/>
        </w:rPr>
        <w:t>自治区农业农村厅      自治区财政厅</w:t>
      </w:r>
    </w:p>
    <w:p>
      <w:pPr>
        <w:pStyle w:val="4"/>
        <w:widowControl/>
        <w:spacing w:before="168" w:beforeAutospacing="0" w:afterAutospacing="0" w:line="520" w:lineRule="exact"/>
        <w:ind w:firstLine="2569" w:firstLineChars="803"/>
        <w:jc w:val="both"/>
        <w:rPr>
          <w:rFonts w:ascii="Times New Roman" w:hAnsi="Times New Roman" w:eastAsia="仿宋_GB2312"/>
          <w:sz w:val="32"/>
          <w:szCs w:val="32"/>
        </w:rPr>
      </w:pPr>
      <w:r>
        <w:rPr>
          <w:rFonts w:ascii="Times New Roman" w:hAnsi="Times New Roman" w:eastAsia="仿宋_GB2312"/>
          <w:color w:val="000000"/>
          <w:sz w:val="32"/>
          <w:szCs w:val="32"/>
        </w:rPr>
        <w:t>  2021年6月11日</w:t>
      </w:r>
    </w:p>
    <w:p>
      <w:pPr>
        <w:pStyle w:val="4"/>
        <w:widowControl/>
        <w:spacing w:beforeAutospacing="0" w:afterAutospacing="0" w:line="560" w:lineRule="atLeast"/>
        <w:jc w:val="center"/>
        <w:rPr>
          <w:rFonts w:ascii="Times New Roman" w:hAnsi="Times New Roman"/>
          <w:color w:val="000000"/>
          <w:sz w:val="44"/>
          <w:szCs w:val="44"/>
        </w:rPr>
      </w:pPr>
    </w:p>
    <w:p>
      <w:pPr>
        <w:pStyle w:val="4"/>
        <w:widowControl/>
        <w:spacing w:beforeAutospacing="0" w:afterAutospacing="0" w:line="560" w:lineRule="atLeast"/>
        <w:jc w:val="both"/>
        <w:rPr>
          <w:rFonts w:ascii="Times New Roman" w:hAnsi="Times New Roman"/>
        </w:rPr>
      </w:pPr>
      <w:r>
        <w:rPr>
          <w:rFonts w:ascii="Times New Roman" w:hAnsi="Times New Roman"/>
          <w:color w:val="000000"/>
          <w:sz w:val="44"/>
          <w:szCs w:val="44"/>
        </w:rPr>
        <w:t>  </w:t>
      </w:r>
    </w:p>
    <w:p>
      <w:pPr>
        <w:pStyle w:val="4"/>
        <w:widowControl/>
        <w:spacing w:beforeAutospacing="0" w:afterAutospacing="0" w:line="520" w:lineRule="exact"/>
        <w:jc w:val="both"/>
        <w:rPr>
          <w:rFonts w:ascii="Times New Roman" w:hAnsi="Times New Roman" w:eastAsia="黑体"/>
          <w:color w:val="000000"/>
          <w:sz w:val="32"/>
          <w:szCs w:val="32"/>
        </w:rPr>
      </w:pPr>
      <w:r>
        <w:rPr>
          <w:rFonts w:ascii="Times New Roman" w:hAnsi="Times New Roman" w:eastAsia="黑体"/>
          <w:color w:val="000000"/>
          <w:sz w:val="32"/>
          <w:szCs w:val="32"/>
        </w:rPr>
        <w:t>附件1</w:t>
      </w: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新疆维吾尔自治区2021-2023年农业机械购置补贴实施方案</w:t>
      </w:r>
    </w:p>
    <w:p>
      <w:pPr>
        <w:pStyle w:val="4"/>
        <w:widowControl/>
        <w:spacing w:beforeAutospacing="0" w:afterAutospacing="0" w:line="520" w:lineRule="exact"/>
        <w:jc w:val="center"/>
        <w:rPr>
          <w:rFonts w:ascii="Times New Roman" w:hAnsi="Times New Roman" w:eastAsia="方正小标宋简体"/>
          <w:color w:val="000000"/>
          <w:sz w:val="44"/>
          <w:szCs w:val="44"/>
        </w:rPr>
      </w:pPr>
    </w:p>
    <w:p>
      <w:pPr>
        <w:pStyle w:val="4"/>
        <w:widowControl/>
        <w:spacing w:beforeAutospacing="0" w:afterAutospacing="0" w:line="520" w:lineRule="exact"/>
        <w:ind w:firstLine="640"/>
        <w:rPr>
          <w:rFonts w:ascii="Times New Roman" w:hAnsi="Times New Roman"/>
          <w:sz w:val="32"/>
          <w:szCs w:val="32"/>
        </w:rPr>
      </w:pPr>
      <w:r>
        <w:rPr>
          <w:rFonts w:ascii="Times New Roman" w:hAnsi="Times New Roman" w:eastAsia="黑体"/>
          <w:color w:val="000000"/>
          <w:sz w:val="32"/>
          <w:szCs w:val="32"/>
        </w:rPr>
        <w:t>一、总体要求</w:t>
      </w:r>
    </w:p>
    <w:p>
      <w:pPr>
        <w:pStyle w:val="4"/>
        <w:widowControl/>
        <w:spacing w:beforeAutospacing="0" w:afterAutospacing="0" w:line="520" w:lineRule="exact"/>
        <w:ind w:firstLine="641"/>
        <w:jc w:val="both"/>
        <w:rPr>
          <w:rFonts w:ascii="Times New Roman" w:hAnsi="Times New Roman" w:eastAsia="仿宋_GB2312"/>
          <w:sz w:val="32"/>
          <w:szCs w:val="32"/>
        </w:rPr>
      </w:pPr>
      <w:r>
        <w:rPr>
          <w:rFonts w:ascii="Times New Roman" w:hAnsi="Times New Roman" w:eastAsia="仿宋_GB2312"/>
          <w:color w:val="000000"/>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pStyle w:val="4"/>
        <w:widowControl/>
        <w:spacing w:beforeAutospacing="0" w:afterAutospacing="0" w:line="52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二、补贴范围和补贴机具</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自治区享受中央财政补贴的机具种类范围为15大类42个小类155个品目（详见附件2）。各地（州、市）可以根据农业生产需要和资金供需实际，从自治区补贴范围中选取本区域补贴机具品目，优先保障粮棉、林果、畜牧养殖、设施、特色等重要农产品生产以及支持残膜回收、翻堆肥等农业绿色发展和数字化发展所需机具的补贴需要，将更多符合条件的高端、复式、智能产品纳入补贴，提高补贴标准，加大补贴力度。</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地方特色农业发展所需和小区域适用性强的机具，可列入地方各级财政安排资金的补贴范围，具体补贴机具品目和补贴标准由地方自定，不得占用中央财政补贴资金。</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蔬菜初加工成套设备、林果初加工成套设备、蜜蜂养殖及蜂产品初加工成套设施装备等。全面开展植保无人驾驶航空器购置补贴工作，具体操作办法另行通知，在此之前，继续按有关规定实施引导植保无人飞机规范应用试点。</w:t>
      </w:r>
    </w:p>
    <w:p>
      <w:pPr>
        <w:pStyle w:val="4"/>
        <w:widowControl/>
        <w:spacing w:beforeAutospacing="0" w:afterAutospacing="0" w:line="52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三、补贴对象和补贴标准</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中央财政农机购置补贴实行定额补贴，即同一种类、同一档次农业机械实行统一的补贴标准。其中，通用类机具补贴额不超过农业农村部发布的最高补贴额。</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大型棉花收获机单机、成套设施装备单套补贴限额不超过60万元。</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围绕粮食生产薄弱环节以及高端、复式、智能农机产品的推广应用，选择不超过10个品目的产品提高补贴额，其补贴额测算比例可提高至35%。2021年起，对区域内保有量明显过多、技术相对落后的轮式拖拉机等机具品目或档次降低补贴标准，确保到2023年将其补贴机具补贴额测算比例降低至15%及以下。</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保持补贴额总体稳定，全面公开农机购置补贴机具分类分档与补贴额一览表，加强宣传，引导购机者根据各档次的补贴定额自主议价，不再对外公布具体产品的补贴额。</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各地在政策实施过程中发现具体产品或档次的中央财政资金实际补贴比例超过50%的，应及时上报或组织调查，对有违规情节的，按相关规定处理；对无违规情节的补贴申请，可按原规定兑付补贴资金。自治区农业农村厅组织对相关产品及其所属档次补贴额进行评估，视情况及时调整。</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南疆五地州补贴标准继续按照《农业部办公厅 财政部办公厅关于在西藏和新疆南疆地区开展差别化农机购置补贴试点的通知》（农办财〔2017〕19号）执行。具体标准按照自治区农业农村厅、财政厅统一发布的《农机购置补贴机具补贴额一览表》执行，具体产品补贴额度继续采取“定额+限比”方式确定。 </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对每一类补贴对象年度内享受补贴购置农机具的台（套）数或补贴资金总额应设置上限，由各地州市结合实际自行确定。</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开展农机专项鉴定产品购置补贴、农机新产品购置补贴试点以及确定提高补贴额产品品目的相关具体工作要求另行通知。</w:t>
      </w:r>
    </w:p>
    <w:p>
      <w:pPr>
        <w:pStyle w:val="4"/>
        <w:widowControl/>
        <w:spacing w:beforeAutospacing="0" w:afterAutospacing="0" w:line="52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四、资金分配与使用</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农机购置补贴支出主要用于支持购置先进适用农业机械，以及开展有关试点和农机报废更新等方面。各地（州、市）农业农村部门会同财政部门采用因素法测算分配资金，不突破县级需求上限分配补贴资金，调减资金结转量大、政策实施风险高、资金使用效益低县（市）的预算规模。财政部门会同农业农村部门加强资金使用情况监测，定期调度和发布各县（市）资金使用进度，督促相关县（市）优先使用结转资金，督促预算执行较慢地区加快使用，并按需组织开展县（市）际余缺调剂，重点将实施进度低于序时进度县（市）的补贴资金调增给已出现供需缺口的县（市），确保不发生资金大量结转，促进资金使用实现两年动态紧平衡。对于上年超录部分的优先使用下年年度资金进行兑付，兑付标准按照上年标准执行。</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进一步加快推进农机报废更新补贴工作。县（市、区）农业农村部门依据《新疆维吾尔自治区农业机械化促进条例》第三章第二十三条之规定，以及《新疆维吾尔自治区农业机械报废更新补贴实施方案》（新农机〔2020〕151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新疆维吾尔自治区农业机械报废更新补贴实施方案》相关规定，加强对报废农机回收企业的依法监督管理。</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农机购置补贴属约束性任务，资金必须足额保障，不得用于其他任务支出。对于挪用专项资金现象，将严格按照相关财经纪律进行处理，并相应调减来年资金分配数量。地方各级财政部门要保障补贴工作实施必要的组织管理经费。</w:t>
      </w:r>
    </w:p>
    <w:p>
      <w:pPr>
        <w:pStyle w:val="4"/>
        <w:widowControl/>
        <w:spacing w:beforeAutospacing="0" w:afterAutospacing="0" w:line="52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五、操作流程</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各地农机购置补贴政策实施工作按以下流程操作。</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（一）发布实施规定。各级农业农村、财政管理部门按职责分工和有关规定发布本地区农机购置补贴实施方案、操作程序、补贴额一览表、补贴机具信息表、咨询投诉举报电话等信息。</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二）组织机具投档。自治区农业农村部门按照《农机购置补贴机具投档工作规范（试行）》等要求，全面运用农机购置补贴机具自主投档平台，常年受理企业投档，组织开展形式审核，公示公布投档结果，并导入办理服务系统。</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三）受理补贴申请。县级农业农村部门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110%的，相关县应及时发布公告，停止受理补贴申请。</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四）审验公示信息。县级农业农村部门按照《农机购置补贴机具核验工作要点（试行）》等要求，对补贴相关申请资料进行形式审核，对补贴机具进行核验，其中牌证管理机具凭牌证免于现场实物核验。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五）兑付补贴资金。县级财政部门审核农业农村部门提交的资金兑付申请与有关材料，于15个工作日内通过国库集中支付方式向符合要求的购机者兑付资金。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4"/>
        <w:widowControl/>
        <w:spacing w:beforeAutospacing="0" w:afterAutospacing="0" w:line="520" w:lineRule="exact"/>
        <w:ind w:firstLine="640"/>
        <w:rPr>
          <w:rFonts w:ascii="Times New Roman" w:hAnsi="Times New Roman" w:eastAsia="黑体"/>
          <w:color w:val="000000"/>
          <w:sz w:val="32"/>
          <w:szCs w:val="32"/>
        </w:rPr>
      </w:pPr>
      <w:r>
        <w:rPr>
          <w:rFonts w:ascii="Times New Roman" w:hAnsi="Times New Roman" w:eastAsia="黑体"/>
          <w:color w:val="000000"/>
          <w:sz w:val="32"/>
          <w:szCs w:val="32"/>
        </w:rPr>
        <w:t>六、工作要求</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加强领导，明确分工。各级农业农村、财政部门要建立健全政府领导下的联合实施和监管机制，切实加强组织协调，密切沟通配合，健全完善风险防控工作制度和内部控制规程，明确职责分工，形成工作合力。县级人民政府要成立农机购置补贴领导小组，进一步明确职责分工，落实领导小组统管政策实施的责任。要进一步明确职责分工，全面落实县级及以下农业农村部门组织实施、审核和监管责任和财政部门资金兑付、资金监管责任。要加强绩效管理，强化闭环管理，切实提升政策实施管理工作能力水平。</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加强对农机鉴定工作的领导和监督。鉴定机构应当建立健全工作规则、操作规范、风险防控等制度，加强内部监督制约，规范鉴定行为，保证鉴定质量，防范廉政风险。加快农机专项鉴定大纲制修订，组织所属或指定的农机鉴定机构公布鉴定产品种类指南，规范开展鉴定及其采信工作，及时公开鉴定证书、鉴定结果和产品主要技术规格参数信息。</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二）优化服务，提升效能。各地要依托农机购置补贴申请办理服务系统（以下简称“办理服务系统”），动态分析基层农业农村和财政部门办理补贴申请具体时限，及时预警和定期通报超时办理行为，督促各地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推广使用智能终端和应用智能作业模式，加大补贴力度，深化北斗系统在农业生产中的推广应用，确保农业生产数据安全。</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推进农机深松、植保等作业数据信息上传工作，实现作业机具与新疆农机作业综合管理服务平台的数据对接，促进机械化和信息化的融合发展。积极推动农机购置补贴机具二维码应用试点工作，推广应用手机App、人脸识别、补贴机具二维码管理和物联网监控等技术集成应用，加快推进补贴全流程线上办理，实现“手机办补贴，农户少跑腿、信息化监督”的管理目标，解决机具核验难题。</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三）公开信息，接受监督。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户信息，公开违规查处结果等信息，主动接受社会监督。</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   （四）严肃纪律，防控风险。各地要强化对各级农业农村和财政部门及其所属事业单位参与农机购置补贴关键重点工作人员的廉政教育和业务培训，提高补贴工作人员业务素质和风险防控能力。严禁有关人员以各种形式直接或间接进行补贴机具经营活动。各级农业农村、财政部门要以农机购置补贴实施操作流程为主线，逐项工作、逐一环节梳理查找风险点，有针对性地制定防控措施，切实提升补贴政策实施规范性，有效保障补贴资金安全。</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五）加强监管，严惩违规。各地要全面贯彻本方案和《农业农村部办公厅、财政部办公厅关于进一步加强农机购置补贴政策监管强化纪律约束的通知》（农办机〔2019〕6号）《农业部办公厅、财政部办公厅关于印发〈农业机械购置补贴产品违规经营行为处理办法（试行）〉的通知》（农办财〔2017〕26号）要求，认真落实风险防控责任和异常情形主动报告制度，严格信用管理和农机产销企业承诺制，充分发挥专业机构的技术优势和大数据的信息优势，有效开展违规行为全流程分析排查，强化农财两部门联合查处和省际跨区联动处理，从严整治突出违规行为，有效维护政策实施良好秩序。</w:t>
      </w:r>
    </w:p>
    <w:p>
      <w:pPr>
        <w:pStyle w:val="4"/>
        <w:widowControl/>
        <w:spacing w:beforeAutospacing="0" w:afterAutospacing="0" w:line="520" w:lineRule="exact"/>
        <w:ind w:firstLine="641"/>
        <w:jc w:val="both"/>
        <w:rPr>
          <w:rFonts w:ascii="Times New Roman" w:hAnsi="Times New Roman" w:eastAsia="仿宋_GB2312"/>
          <w:color w:val="000000"/>
          <w:sz w:val="32"/>
          <w:szCs w:val="32"/>
        </w:rPr>
      </w:pPr>
      <w:r>
        <w:rPr>
          <w:rFonts w:ascii="Times New Roman" w:hAnsi="Times New Roman" w:eastAsia="仿宋_GB2312"/>
          <w:color w:val="000000"/>
          <w:sz w:val="32"/>
          <w:szCs w:val="32"/>
        </w:rPr>
        <w:t>各地（州、市）农业农村、财政部门要根据本实施方案，结合实际制定印发本地2021-2023年实施方案，并抄报自治区农业农村厅、财政厅。每年12月15日前，要将全年中央财政农机购置补贴政策实施（含试点工作开展情况）总结报告报送农业农村厅、财政厅。</w:t>
      </w:r>
    </w:p>
    <w:p>
      <w:pPr>
        <w:pStyle w:val="4"/>
        <w:widowControl/>
        <w:spacing w:beforeAutospacing="0" w:afterAutospacing="0" w:line="520" w:lineRule="exact"/>
        <w:jc w:val="both"/>
        <w:rPr>
          <w:rFonts w:ascii="Times New Roman" w:hAnsi="Times New Roman"/>
        </w:rPr>
      </w:pPr>
      <w:r>
        <w:rPr>
          <w:rFonts w:ascii="Times New Roman" w:hAnsi="Times New Roman" w:eastAsia="黑体"/>
          <w:color w:val="000000"/>
          <w:sz w:val="32"/>
          <w:szCs w:val="32"/>
        </w:rPr>
        <w:t> </w:t>
      </w:r>
    </w:p>
    <w:p>
      <w:pPr>
        <w:pStyle w:val="4"/>
        <w:widowControl/>
        <w:spacing w:beforeAutospacing="0" w:afterAutospacing="0" w:line="520" w:lineRule="exact"/>
        <w:jc w:val="both"/>
        <w:rPr>
          <w:rFonts w:ascii="Times New Roman" w:hAnsi="Times New Roman"/>
        </w:rPr>
      </w:pPr>
      <w:r>
        <w:rPr>
          <w:rFonts w:ascii="Times New Roman" w:hAnsi="Times New Roman" w:eastAsia="黑体"/>
          <w:color w:val="000000"/>
          <w:sz w:val="32"/>
          <w:szCs w:val="32"/>
        </w:rPr>
        <w:t> </w:t>
      </w:r>
    </w:p>
    <w:p>
      <w:pPr>
        <w:pStyle w:val="4"/>
        <w:widowControl/>
        <w:spacing w:beforeAutospacing="0" w:afterAutospacing="0" w:line="520" w:lineRule="exact"/>
        <w:jc w:val="both"/>
        <w:rPr>
          <w:rFonts w:ascii="Times New Roman" w:hAnsi="Times New Roman" w:eastAsia="黑体"/>
          <w:color w:val="000000"/>
          <w:sz w:val="32"/>
          <w:szCs w:val="32"/>
        </w:rPr>
      </w:pPr>
      <w:r>
        <w:rPr>
          <w:rFonts w:ascii="Times New Roman" w:hAnsi="Times New Roman" w:eastAsia="黑体"/>
          <w:color w:val="000000"/>
          <w:sz w:val="32"/>
          <w:szCs w:val="32"/>
        </w:rPr>
        <w:t> </w:t>
      </w: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p>
    <w:p>
      <w:pPr>
        <w:pStyle w:val="4"/>
        <w:widowControl/>
        <w:spacing w:beforeAutospacing="0" w:afterAutospacing="0" w:line="520" w:lineRule="exact"/>
        <w:jc w:val="both"/>
        <w:rPr>
          <w:rFonts w:ascii="Times New Roman" w:hAnsi="Times New Roman" w:eastAsia="黑体"/>
          <w:color w:val="000000"/>
          <w:sz w:val="32"/>
          <w:szCs w:val="32"/>
        </w:rPr>
      </w:pPr>
      <w:r>
        <w:rPr>
          <w:rFonts w:ascii="Times New Roman" w:hAnsi="Times New Roman" w:eastAsia="黑体"/>
          <w:color w:val="000000"/>
          <w:sz w:val="32"/>
          <w:szCs w:val="32"/>
        </w:rPr>
        <w:t>附件2</w:t>
      </w:r>
    </w:p>
    <w:p>
      <w:pPr>
        <w:pStyle w:val="4"/>
        <w:widowControl/>
        <w:spacing w:beforeAutospacing="0" w:afterAutospacing="0" w:line="520" w:lineRule="exact"/>
        <w:jc w:val="both"/>
        <w:rPr>
          <w:rFonts w:ascii="Times New Roman" w:hAnsi="Times New Roman" w:eastAsia="黑体"/>
          <w:color w:val="000000"/>
          <w:sz w:val="32"/>
          <w:szCs w:val="32"/>
        </w:rPr>
      </w:pPr>
    </w:p>
    <w:p>
      <w:pPr>
        <w:pStyle w:val="2"/>
        <w:widowControl/>
        <w:spacing w:beforeAutospacing="0" w:afterAutospacing="0" w:line="520" w:lineRule="exact"/>
        <w:jc w:val="center"/>
        <w:rPr>
          <w:rFonts w:hint="default" w:ascii="Times New Roman" w:hAnsi="Times New Roman"/>
        </w:rPr>
      </w:pPr>
      <w:r>
        <w:rPr>
          <w:rFonts w:hint="default" w:ascii="Times New Roman" w:hAnsi="Times New Roman" w:eastAsia="黑体"/>
          <w:b w:val="0"/>
          <w:color w:val="000000"/>
          <w:sz w:val="32"/>
          <w:szCs w:val="32"/>
        </w:rPr>
        <w:t>2021-2023年新疆维吾尔自治区农机购置补贴机具种类范围</w:t>
      </w:r>
    </w:p>
    <w:p>
      <w:pPr>
        <w:pStyle w:val="3"/>
        <w:widowControl/>
        <w:spacing w:beforeAutospacing="0" w:afterAutospacing="0" w:line="520" w:lineRule="exact"/>
        <w:jc w:val="center"/>
        <w:rPr>
          <w:rFonts w:hint="default" w:ascii="Times New Roman" w:hAnsi="Times New Roman"/>
          <w:b w:val="0"/>
          <w:bCs/>
        </w:rPr>
      </w:pPr>
      <w:r>
        <w:rPr>
          <w:rFonts w:hint="default" w:ascii="Times New Roman" w:hAnsi="Times New Roman" w:eastAsia="仿宋_GB2312"/>
          <w:b w:val="0"/>
          <w:bCs/>
          <w:color w:val="000000"/>
          <w:sz w:val="32"/>
          <w:szCs w:val="32"/>
        </w:rPr>
        <w:t>（15大类42个小类155个品目）</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1.耕整地机械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1.1耕地机械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1.1.1铧式犁</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1.1.2圆盘犁</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1.1.3旋耕机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1.1.4深松机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1.1.5开沟机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1.1.6耕整机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1.1.7微耕机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1.2整地机械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1.2.1圆盘耙</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1.2.2起垄机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1.2.3灭茬机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1.2.4筑埂机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1.2.5铺膜机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1.2.6联合整地机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1.2.7埋茬起浆机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2.种植施肥机械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2.1播种机械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2.1.1条播机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2.1.2穴播机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2.1.3小粒种子播种机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2.1.4根茎作物播种机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2.1.5免耕播种机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2.1.6铺膜播种机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2.1.7水稻直播机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2.1.8精量播种机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2.1.9整地施肥播种机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2.2育苗机械设备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2.2.1种子播前处理设备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2.2.2营养钵压制机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2.2.3秧盘播种成套设备（含床土处理）</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2.3栽植机械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2.3.1水稻插秧机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2.3.2秧苗移栽机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2.4施肥机械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2.4.1施肥机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2.4.2撒肥机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2.4.3追肥机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3.田间管理机械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3.1中耕机械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3.1.1中耕机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3.1.2培土机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3.1.3埋藤机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3.1.4田园管理机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3.2植保机械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3.2.1动力喷雾机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3.2.2喷杆喷雾机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3.2.3风送喷雾机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3.2.4植保无人驾驶航空器</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3.3修剪机械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3.3.2果树修剪机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3.3.3枝条切碎机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4.收获机械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4.1谷物收获机械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4.1.1割晒机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4.1.2自走轮式谷物联合收割机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4.1.3自走履带式谷物联合收割机（全喂入）</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4.1.4半喂入联合收割机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4.2玉米收获机械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4.2.1自走式玉米收获机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4.2.2自走式玉米籽粒联合收获机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4.2.3穗茎兼收玉米收获机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4.2.4玉米收获专用割台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4.3棉麻作物收获机械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4.3.1棉花收获机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4.4果实收获机械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4.4.1果实捡拾机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4.4.2番茄收获机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4.4.3辣椒收获机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4.5蔬菜收获机械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4.5.1果类蔬菜收获机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4.7籽粒作物收获机械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4.7.1油菜籽收获机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4.7.2葵花籽收获机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4.8根茎作物收获机械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4.8.1薯类收获机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4.8.2甜菜收获机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4.8.5花生收获机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4.9饲料作物收获机械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4.9.1割草机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4.9.2搂草机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4.9.3打（压）捆机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4.9.4圆草捆包膜机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4.9.5青饲料收获机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4.10茎秆收集处理机械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4.10.1秸秆粉碎还田机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4.10.2高秆作物割晒机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5.收获后处理机械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5.1脱粒机械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5.1.1稻麦脱粒机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5.1.2玉米脱粒机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5.1.3花生摘果机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5.2清选机械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5.2.1风筛清选机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5.2.2重力清选机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5.2.3窝眼清选机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5.2.4复式清选机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5.3干燥机械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5.3.1谷物烘干机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5.3.2果蔬烘干机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5.3.3油菜籽烘干机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5.4种子加工机械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5.4.1种子清选机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6.农产品初加工机械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6.1碾米机械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6.1.1碾米机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6.1.2组合米机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6.2磨粉（浆）机械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6.2.1磨粉机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6.2.2磨浆机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6.3果蔬加工机械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6.3.1水果分级机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6.3.2水果清洗机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6.3.3水果打蜡机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6.3.4蔬菜清洗机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6.5剥壳（去皮）机械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6.5.1玉米剥皮机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6.5.2花生脱壳机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6.5.3干坚果脱壳机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6.5.4剥（刮）麻机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7.农用搬运机械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7.1装卸机械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7.1.1抓草机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8.排灌机械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8.1水泵</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8.1.1离心泵</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8.1.2潜水电泵</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8.2喷灌机械设备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8.2.1喷灌机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8.2.2微灌设备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8.2.3灌溉首部（含灌溉水增压设备、过滤设备、水质软化设备、灌溉施肥一体化设备以及营养液消毒设备等）</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9.畜牧机械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9.1饲料（草）加工机械设备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9.1.1铡草机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9.1.2青贮切碎机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9.1.3揉丝机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9.1.4压块机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9.1.5饲料（草）粉碎机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9.1.6饲料混合机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9.1.7颗粒饲料压制机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9.1.8饲料制备（搅拌）机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9.2饲养机械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9.2.1孵化机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9.2.2喂料机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9.2.3送料机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9.2.4清粪机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9.2.5粪污固液分离机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9.3畜产品采集加工机械设备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9.3.1挤奶机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9.3.2剪羊毛机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9.3.3贮奶（冷藏）罐</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10.水产机械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10.1水产养殖机械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10.1.1增氧机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10.1.2投饲机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10.1.3网箱养殖设备</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10.2水产捕捞机械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10.2.1绞纲机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10.2.2船用油污水分离装置</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11.农业废弃物利用处理设备</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11.1废弃物处理设备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11.1.1废弃物料烘干机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11.1.2残膜回收机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11.1.3沼液沼渣抽排设备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11.1.4秸秆压块（粒、棒）机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11.1.5病死畜禽无害化处理设备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11.1.6有机废弃物好氧发酵翻堆机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11.1.7有机废弃物干式厌氧发酵装置</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12.农田基本建设机械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12.1挖掘机械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12.1.1挖坑机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12.2平地机械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12.2.1平地机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13.设施农业设备</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13.1温室大棚设备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13.1.1电动卷帘机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13.1.2热风炉</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13.2食用菌生产设备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13.2.1蒸汽灭菌设备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13.2.2食用菌料装瓶（袋）机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14.动力机械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14.1拖拉机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14.1.1轮式拖拉机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14.1.2手扶拖拉机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14.1.3履带式拖拉机</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15.其他机械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15.1养蜂设备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15.1.1养蜂平台</w:t>
      </w:r>
    </w:p>
    <w:p>
      <w:pPr>
        <w:pStyle w:val="4"/>
        <w:widowControl/>
        <w:spacing w:beforeAutospacing="0" w:afterAutospacing="0" w:line="520" w:lineRule="exact"/>
        <w:jc w:val="both"/>
        <w:rPr>
          <w:rFonts w:ascii="Times New Roman" w:hAnsi="Times New Roman"/>
        </w:rPr>
      </w:pPr>
      <w:r>
        <w:rPr>
          <w:rFonts w:ascii="Times New Roman" w:hAnsi="Times New Roman" w:eastAsia="仿宋_GB2312"/>
          <w:color w:val="000000"/>
          <w:sz w:val="32"/>
          <w:szCs w:val="32"/>
        </w:rPr>
        <w:t>  15.2其他机械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15.2.1驱动耙</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15.2.2籽棉清理机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15.2.3水帘降温设备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15.2.4热水加温系统</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15.2.5简易保鲜储藏设备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15.2.6水井钻机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15.2.7旋耕播种机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15.2.8大米色选机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15.2.9杂粮色选机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15.2.11秸秆膨化机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15.2.12畜禽粪便发酵处理机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15.2.13农业用北斗终端（含渔船用）</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15.2.14沼气发电机组</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15.2.16有机肥加工设备</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15.2.20根（块）茎作物收获机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15.2.21果园作业平台</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15.2.22果园轨道运输机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15.2.23秸秆收集机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15.2.24瓜果取籽机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15.2.25脱蓬（脯）机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15.2.26莲子剥壳去皮机</w:t>
      </w:r>
    </w:p>
    <w:p>
      <w:pPr>
        <w:pStyle w:val="4"/>
        <w:widowControl/>
        <w:spacing w:beforeAutospacing="0" w:afterAutospacing="0" w:line="520" w:lineRule="exact"/>
        <w:ind w:firstLine="640"/>
        <w:jc w:val="both"/>
        <w:rPr>
          <w:rFonts w:ascii="Times New Roman" w:hAnsi="Times New Roman"/>
        </w:rPr>
      </w:pPr>
      <w:r>
        <w:rPr>
          <w:rFonts w:ascii="Times New Roman" w:hAnsi="Times New Roman" w:eastAsia="仿宋_GB2312"/>
          <w:color w:val="000000"/>
          <w:sz w:val="32"/>
          <w:szCs w:val="32"/>
        </w:rPr>
        <w:t>15.2.27水产养殖水质监控设备</w:t>
      </w:r>
    </w:p>
    <w:p>
      <w:pPr>
        <w:pStyle w:val="4"/>
        <w:widowControl/>
        <w:spacing w:beforeAutospacing="0" w:afterAutospacing="0" w:line="520" w:lineRule="exac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DB"/>
    <w:rsid w:val="008C7AF1"/>
    <w:rsid w:val="009E1DDB"/>
    <w:rsid w:val="04915431"/>
    <w:rsid w:val="0DCD620B"/>
    <w:rsid w:val="15872A86"/>
    <w:rsid w:val="2A047764"/>
    <w:rsid w:val="419B1A80"/>
    <w:rsid w:val="4C2027EA"/>
    <w:rsid w:val="6D3A781B"/>
    <w:rsid w:val="FF7F7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7222</Words>
  <Characters>1336</Characters>
  <Lines>11</Lines>
  <Paragraphs>17</Paragraphs>
  <TotalTime>14</TotalTime>
  <ScaleCrop>false</ScaleCrop>
  <LinksUpToDate>false</LinksUpToDate>
  <CharactersWithSpaces>8541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蔡灿</cp:lastModifiedBy>
  <dcterms:modified xsi:type="dcterms:W3CDTF">2023-09-28T08:26:38Z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